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55B34C" w14:textId="7777777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485F301B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740AFA">
        <w:rPr>
          <w:color w:val="000000"/>
          <w:sz w:val="24"/>
          <w:szCs w:val="24"/>
        </w:rPr>
        <w:t xml:space="preserve"> Администрация Сергачского муниципального округа Нижегородской области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3018"/>
        <w:gridCol w:w="6425"/>
        <w:gridCol w:w="2476"/>
        <w:gridCol w:w="922"/>
        <w:gridCol w:w="1774"/>
      </w:tblGrid>
      <w:tr w:rsidR="00E342B5" w:rsidRPr="0041570F" w14:paraId="1E084CC1" w14:textId="77777777" w:rsidTr="00674B9F">
        <w:trPr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п/п </w:t>
            </w:r>
            <w:r w:rsidRPr="0041570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70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70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3018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6425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2476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922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74" w:type="dxa"/>
            <w:vAlign w:val="center"/>
          </w:tcPr>
          <w:p w14:paraId="6BA6C3E5" w14:textId="144D930F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E342B5" w:rsidRPr="0041570F" w14:paraId="41A5AB5B" w14:textId="77777777" w:rsidTr="00674B9F"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018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6425" w:type="dxa"/>
            <w:vAlign w:val="center"/>
          </w:tcPr>
          <w:p w14:paraId="29F129D1" w14:textId="365B104C" w:rsidR="00E342B5" w:rsidRPr="0041570F" w:rsidRDefault="00235B64" w:rsidP="007573C8">
            <w:pPr>
              <w:jc w:val="both"/>
              <w:rPr>
                <w:sz w:val="22"/>
                <w:szCs w:val="22"/>
              </w:rPr>
            </w:pPr>
            <w:r w:rsidRPr="00C806E6">
              <w:rPr>
                <w:color w:val="000000"/>
                <w:sz w:val="22"/>
                <w:szCs w:val="22"/>
              </w:rPr>
              <w:t>Консультации предоставляются на постоянной основе</w:t>
            </w:r>
          </w:p>
        </w:tc>
        <w:tc>
          <w:tcPr>
            <w:tcW w:w="2476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22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proofErr w:type="spellStart"/>
            <w:r w:rsidRPr="0041570F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74" w:type="dxa"/>
            <w:vAlign w:val="center"/>
          </w:tcPr>
          <w:p w14:paraId="18196DAE" w14:textId="17BFDD5D" w:rsidR="00E342B5" w:rsidRPr="00235B64" w:rsidRDefault="00235B64" w:rsidP="00A51978">
            <w:pPr>
              <w:jc w:val="center"/>
              <w:rPr>
                <w:sz w:val="22"/>
                <w:szCs w:val="22"/>
              </w:rPr>
            </w:pPr>
            <w:r w:rsidRPr="00235B64">
              <w:rPr>
                <w:sz w:val="22"/>
                <w:szCs w:val="22"/>
              </w:rPr>
              <w:t>0,2</w:t>
            </w:r>
            <w:r w:rsidR="00AD27EF">
              <w:rPr>
                <w:sz w:val="22"/>
                <w:szCs w:val="22"/>
              </w:rPr>
              <w:t>9</w:t>
            </w:r>
          </w:p>
        </w:tc>
      </w:tr>
      <w:tr w:rsidR="007946D4" w:rsidRPr="0041570F" w14:paraId="4426CBB2" w14:textId="77777777" w:rsidTr="00674B9F">
        <w:tc>
          <w:tcPr>
            <w:tcW w:w="1118" w:type="dxa"/>
            <w:vAlign w:val="center"/>
          </w:tcPr>
          <w:p w14:paraId="0BAB9130" w14:textId="0C641843" w:rsidR="007946D4" w:rsidRPr="0041570F" w:rsidRDefault="007946D4" w:rsidP="007946D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018" w:type="dxa"/>
            <w:vAlign w:val="center"/>
          </w:tcPr>
          <w:p w14:paraId="4FED8AB8" w14:textId="37F11A52" w:rsidR="007946D4" w:rsidRPr="0041570F" w:rsidRDefault="007946D4" w:rsidP="007946D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6425" w:type="dxa"/>
            <w:vAlign w:val="center"/>
          </w:tcPr>
          <w:p w14:paraId="66EF9C18" w14:textId="1196A645" w:rsidR="007946D4" w:rsidRPr="0041570F" w:rsidRDefault="007946D4" w:rsidP="007946D4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В 2025 году мероприятия по сокращению муниципальных предприятий Сергачского муниципального округа не проводились, так как были завершены в 2024 году</w:t>
            </w:r>
          </w:p>
        </w:tc>
        <w:tc>
          <w:tcPr>
            <w:tcW w:w="2476" w:type="dxa"/>
            <w:vAlign w:val="center"/>
          </w:tcPr>
          <w:p w14:paraId="11442A1A" w14:textId="3FA4A03D" w:rsidR="007946D4" w:rsidRPr="0041570F" w:rsidRDefault="007946D4" w:rsidP="007946D4">
            <w:pPr>
              <w:jc w:val="both"/>
              <w:rPr>
                <w:sz w:val="22"/>
                <w:szCs w:val="22"/>
              </w:rPr>
            </w:pPr>
            <w:r w:rsidRPr="007A5221">
              <w:rPr>
                <w:sz w:val="22"/>
                <w:szCs w:val="22"/>
              </w:rPr>
              <w:t xml:space="preserve">Данный показатель как результат реализации муниципальной программы «Управление муниципальным имуществом Сергачского </w:t>
            </w:r>
            <w:r w:rsidRPr="007A5221">
              <w:rPr>
                <w:sz w:val="22"/>
                <w:szCs w:val="22"/>
              </w:rPr>
              <w:lastRenderedPageBreak/>
              <w:t>муниципального округа Нижегородской области» не предусмотрен</w:t>
            </w:r>
          </w:p>
        </w:tc>
        <w:tc>
          <w:tcPr>
            <w:tcW w:w="922" w:type="dxa"/>
            <w:vAlign w:val="center"/>
          </w:tcPr>
          <w:p w14:paraId="7D181188" w14:textId="16708B13" w:rsidR="007946D4" w:rsidRPr="0041570F" w:rsidRDefault="007946D4" w:rsidP="007946D4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74" w:type="dxa"/>
            <w:vAlign w:val="center"/>
          </w:tcPr>
          <w:p w14:paraId="7F0FD1B4" w14:textId="291AD330" w:rsidR="007946D4" w:rsidRPr="0041570F" w:rsidRDefault="007946D4" w:rsidP="007946D4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7946D4" w:rsidRPr="0041570F" w14:paraId="3A2F7032" w14:textId="77777777" w:rsidTr="00CE247E">
        <w:tc>
          <w:tcPr>
            <w:tcW w:w="1118" w:type="dxa"/>
            <w:vAlign w:val="center"/>
          </w:tcPr>
          <w:p w14:paraId="196C4422" w14:textId="7FBC1ED2" w:rsidR="007946D4" w:rsidRPr="0041570F" w:rsidRDefault="007946D4" w:rsidP="007946D4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018" w:type="dxa"/>
            <w:vAlign w:val="center"/>
          </w:tcPr>
          <w:p w14:paraId="697E8897" w14:textId="7B7962F9" w:rsidR="007946D4" w:rsidRPr="0041570F" w:rsidRDefault="007946D4" w:rsidP="007946D4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6425" w:type="dxa"/>
          </w:tcPr>
          <w:p w14:paraId="66BAB1BB" w14:textId="77777777" w:rsidR="007946D4" w:rsidRPr="0036413F" w:rsidRDefault="007946D4" w:rsidP="007946D4">
            <w:pPr>
              <w:shd w:val="clear" w:color="auto" w:fill="FFFFFF" w:themeFill="background1"/>
              <w:ind w:left="177" w:firstLine="38"/>
              <w:jc w:val="both"/>
              <w:rPr>
                <w:i/>
                <w:sz w:val="22"/>
                <w:szCs w:val="22"/>
              </w:rPr>
            </w:pPr>
            <w:r w:rsidRPr="0036413F">
              <w:rPr>
                <w:i/>
                <w:sz w:val="22"/>
                <w:szCs w:val="22"/>
              </w:rPr>
              <w:t xml:space="preserve">Организация и проведение публичных торгов по реализации прогнозного плана-программы приватизации муниципального имущества Сергачского муниципального округа Нижегородской области, осуществляется во исполнение требований действующего законодательства Российской Федерации </w:t>
            </w:r>
          </w:p>
          <w:p w14:paraId="364B0A8F" w14:textId="234138C3" w:rsidR="007946D4" w:rsidRPr="004A4A74" w:rsidRDefault="00573BBE" w:rsidP="007946D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hyperlink r:id="rId8" w:history="1">
              <w:r w:rsidR="007946D4" w:rsidRPr="000E1B5A">
                <w:rPr>
                  <w:rStyle w:val="ae"/>
                  <w:sz w:val="24"/>
                  <w:szCs w:val="24"/>
                </w:rPr>
                <w:t>https://sergach.nobl.ru/activity/34486/</w:t>
              </w:r>
            </w:hyperlink>
          </w:p>
        </w:tc>
        <w:tc>
          <w:tcPr>
            <w:tcW w:w="2476" w:type="dxa"/>
          </w:tcPr>
          <w:p w14:paraId="77E0D388" w14:textId="53CB10D7" w:rsidR="007946D4" w:rsidRPr="0041570F" w:rsidRDefault="007946D4" w:rsidP="007946D4">
            <w:pPr>
              <w:jc w:val="both"/>
              <w:rPr>
                <w:sz w:val="22"/>
                <w:szCs w:val="22"/>
              </w:rPr>
            </w:pPr>
            <w:r w:rsidRPr="00682E79">
              <w:rPr>
                <w:sz w:val="22"/>
                <w:szCs w:val="22"/>
              </w:rPr>
              <w:t xml:space="preserve">Отчеты об итогах исполнения планов приватизации в соответствии с </w:t>
            </w:r>
            <w:r>
              <w:rPr>
                <w:sz w:val="22"/>
                <w:szCs w:val="22"/>
              </w:rPr>
              <w:t>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2005г. №806</w:t>
            </w:r>
          </w:p>
        </w:tc>
        <w:tc>
          <w:tcPr>
            <w:tcW w:w="922" w:type="dxa"/>
            <w:vAlign w:val="center"/>
          </w:tcPr>
          <w:p w14:paraId="61D92BBE" w14:textId="51D42163" w:rsidR="007946D4" w:rsidRPr="0041570F" w:rsidRDefault="007946D4" w:rsidP="00794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74" w:type="dxa"/>
            <w:vAlign w:val="center"/>
          </w:tcPr>
          <w:p w14:paraId="07200278" w14:textId="5211A157" w:rsidR="007946D4" w:rsidRPr="0041570F" w:rsidRDefault="007946D4" w:rsidP="00794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B4963" w:rsidRPr="0041570F" w14:paraId="27EDDDD1" w14:textId="77777777" w:rsidTr="00674B9F">
        <w:tc>
          <w:tcPr>
            <w:tcW w:w="1118" w:type="dxa"/>
            <w:shd w:val="clear" w:color="auto" w:fill="auto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1510E04C" w14:textId="45F65593" w:rsidR="007B4963" w:rsidRPr="0041570F" w:rsidRDefault="007946D4" w:rsidP="0018132A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36413F">
              <w:rPr>
                <w:i/>
                <w:iCs/>
                <w:sz w:val="22"/>
                <w:szCs w:val="22"/>
              </w:rPr>
              <w:t>НЕ проводились</w:t>
            </w:r>
            <w:r w:rsidRPr="0036413F">
              <w:rPr>
                <w:i/>
                <w:sz w:val="22"/>
                <w:szCs w:val="22"/>
              </w:rPr>
              <w:t xml:space="preserve"> </w:t>
            </w:r>
            <w:r w:rsidRPr="0036413F">
              <w:rPr>
                <w:i/>
                <w:iCs/>
                <w:sz w:val="22"/>
                <w:szCs w:val="22"/>
              </w:rPr>
              <w:t>публичные торги (конкурентные процедуры)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 xml:space="preserve"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</w:t>
            </w:r>
            <w:r w:rsidRPr="0018132A">
              <w:rPr>
                <w:sz w:val="22"/>
                <w:szCs w:val="22"/>
              </w:rPr>
              <w:lastRenderedPageBreak/>
              <w:t>иных конкурентных процедур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EE1CFCE" w14:textId="32870675" w:rsidR="007B4963" w:rsidRPr="0041570F" w:rsidRDefault="007946D4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4B8F" w:rsidRPr="0041570F" w14:paraId="66C76A85" w14:textId="77777777" w:rsidTr="00D833ED">
        <w:tc>
          <w:tcPr>
            <w:tcW w:w="1118" w:type="dxa"/>
            <w:vAlign w:val="center"/>
          </w:tcPr>
          <w:p w14:paraId="49D61109" w14:textId="6534533F" w:rsidR="00354B8F" w:rsidRPr="0041570F" w:rsidRDefault="00354B8F" w:rsidP="00354B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018" w:type="dxa"/>
          </w:tcPr>
          <w:p w14:paraId="3458613C" w14:textId="7085C50E" w:rsidR="00354B8F" w:rsidRPr="00F00EDA" w:rsidRDefault="00354B8F" w:rsidP="00354B8F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6425" w:type="dxa"/>
          </w:tcPr>
          <w:p w14:paraId="0834C594" w14:textId="77777777" w:rsidR="00354B8F" w:rsidRPr="0036413F" w:rsidRDefault="00354B8F" w:rsidP="00354B8F">
            <w:pPr>
              <w:shd w:val="clear" w:color="auto" w:fill="FFFFFF" w:themeFill="background1"/>
              <w:ind w:left="177"/>
              <w:rPr>
                <w:i/>
                <w:sz w:val="22"/>
                <w:szCs w:val="22"/>
              </w:rPr>
            </w:pPr>
            <w:r w:rsidRPr="0036413F">
              <w:rPr>
                <w:i/>
                <w:sz w:val="22"/>
                <w:szCs w:val="22"/>
              </w:rPr>
              <w:t>В результате проведенного анализа</w:t>
            </w:r>
            <w:r w:rsidRPr="00543418">
              <w:rPr>
                <w:sz w:val="22"/>
                <w:szCs w:val="22"/>
              </w:rPr>
              <w:t xml:space="preserve"> </w:t>
            </w:r>
            <w:r w:rsidRPr="0036413F">
              <w:rPr>
                <w:i/>
                <w:sz w:val="22"/>
                <w:szCs w:val="22"/>
              </w:rPr>
              <w:t>использования муниципального имущества, находящегося в собственности Сергачского муниципального округа, неиспользуемых  объектов недвижимого имущества, неиспользуемых по назначению объектов социальной сферы не выявлено.</w:t>
            </w:r>
          </w:p>
          <w:p w14:paraId="3D9701E8" w14:textId="4775AB2D" w:rsidR="00354B8F" w:rsidRPr="0041570F" w:rsidRDefault="00354B8F" w:rsidP="00354B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14:paraId="6530E337" w14:textId="04163C93" w:rsidR="00354B8F" w:rsidRPr="0041570F" w:rsidRDefault="00354B8F" w:rsidP="00354B8F">
            <w:pPr>
              <w:jc w:val="both"/>
              <w:rPr>
                <w:color w:val="000000"/>
                <w:sz w:val="22"/>
                <w:szCs w:val="22"/>
              </w:rPr>
            </w:pPr>
            <w:r w:rsidRPr="0026590E">
              <w:rPr>
                <w:sz w:val="22"/>
                <w:szCs w:val="22"/>
              </w:rPr>
              <w:t xml:space="preserve">   </w:t>
            </w:r>
            <w:r w:rsidRPr="0036413F">
              <w:rPr>
                <w:sz w:val="22"/>
                <w:szCs w:val="22"/>
                <w:shd w:val="clear" w:color="auto" w:fill="FFFFFF" w:themeFill="background1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922" w:type="dxa"/>
            <w:vAlign w:val="center"/>
          </w:tcPr>
          <w:p w14:paraId="1F89AF31" w14:textId="7FB69399" w:rsidR="00354B8F" w:rsidRPr="0041570F" w:rsidRDefault="00354B8F" w:rsidP="00354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74" w:type="dxa"/>
            <w:vAlign w:val="center"/>
          </w:tcPr>
          <w:p w14:paraId="0012A819" w14:textId="0C9C59DF" w:rsidR="00354B8F" w:rsidRPr="0041570F" w:rsidRDefault="00354B8F" w:rsidP="00354B8F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7030A0"/>
                <w:sz w:val="22"/>
                <w:szCs w:val="22"/>
              </w:rPr>
              <w:t>100</w:t>
            </w:r>
          </w:p>
        </w:tc>
      </w:tr>
      <w:tr w:rsidR="0010177E" w:rsidRPr="0041570F" w14:paraId="4D9F1D4F" w14:textId="77777777" w:rsidTr="00674B9F">
        <w:tc>
          <w:tcPr>
            <w:tcW w:w="1118" w:type="dxa"/>
            <w:vAlign w:val="center"/>
          </w:tcPr>
          <w:p w14:paraId="6ED8C5AE" w14:textId="2B73B6D1" w:rsidR="0010177E" w:rsidRPr="0041570F" w:rsidRDefault="0010177E" w:rsidP="0010177E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3018" w:type="dxa"/>
            <w:vAlign w:val="center"/>
          </w:tcPr>
          <w:p w14:paraId="0D249761" w14:textId="71D78F9C" w:rsidR="0010177E" w:rsidRPr="0041570F" w:rsidRDefault="0010177E" w:rsidP="0010177E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 xml:space="preserve">детского и юношеского 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41570F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41570F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6425" w:type="dxa"/>
            <w:vAlign w:val="center"/>
          </w:tcPr>
          <w:p w14:paraId="75385501" w14:textId="77777777" w:rsidR="0010177E" w:rsidRPr="00E36CEF" w:rsidRDefault="0010177E" w:rsidP="0010177E">
            <w:pPr>
              <w:jc w:val="both"/>
              <w:rPr>
                <w:sz w:val="22"/>
                <w:szCs w:val="22"/>
              </w:rPr>
            </w:pPr>
            <w:r w:rsidRPr="00E36CEF">
              <w:rPr>
                <w:sz w:val="22"/>
                <w:szCs w:val="22"/>
              </w:rPr>
              <w:lastRenderedPageBreak/>
              <w:t>Реализация дополнительных общеобразовательных программ технической направленности в МБУДО «Центр дополнительного образования и воспитания «Созвездие»</w:t>
            </w:r>
          </w:p>
          <w:p w14:paraId="0D220AF1" w14:textId="77777777" w:rsidR="0010177E" w:rsidRDefault="0010177E" w:rsidP="0010177E">
            <w:pPr>
              <w:jc w:val="both"/>
              <w:rPr>
                <w:sz w:val="22"/>
                <w:szCs w:val="22"/>
              </w:rPr>
            </w:pPr>
          </w:p>
          <w:p w14:paraId="6E0A7187" w14:textId="77777777" w:rsidR="0010177E" w:rsidRDefault="0010177E" w:rsidP="0010177E">
            <w:pPr>
              <w:jc w:val="both"/>
              <w:rPr>
                <w:sz w:val="24"/>
                <w:szCs w:val="24"/>
                <w:lang w:eastAsia="en-US"/>
              </w:rPr>
            </w:pPr>
            <w:r w:rsidRPr="00E36CEF">
              <w:rPr>
                <w:sz w:val="22"/>
                <w:szCs w:val="22"/>
              </w:rPr>
              <w:t xml:space="preserve">Проведение муниципальных этапов и участие в конкурсах технического творчества: </w:t>
            </w:r>
            <w:r>
              <w:rPr>
                <w:sz w:val="22"/>
                <w:szCs w:val="22"/>
              </w:rPr>
              <w:t xml:space="preserve">региональная акция «Первых в науке», областной конкурс по робототехнике «Техно </w:t>
            </w:r>
            <w:proofErr w:type="spellStart"/>
            <w:r>
              <w:rPr>
                <w:sz w:val="22"/>
                <w:szCs w:val="22"/>
              </w:rPr>
              <w:t>батлл</w:t>
            </w:r>
            <w:proofErr w:type="spellEnd"/>
            <w:r>
              <w:rPr>
                <w:sz w:val="22"/>
                <w:szCs w:val="22"/>
              </w:rPr>
              <w:t xml:space="preserve">», региональный конкурс юных авиамоделистов «Лети, модель!», </w:t>
            </w:r>
            <w:r>
              <w:rPr>
                <w:sz w:val="22"/>
                <w:szCs w:val="22"/>
              </w:rPr>
              <w:lastRenderedPageBreak/>
              <w:t>региональный фестиваль «</w:t>
            </w:r>
            <w:proofErr w:type="spellStart"/>
            <w:r>
              <w:rPr>
                <w:sz w:val="22"/>
                <w:szCs w:val="22"/>
              </w:rPr>
              <w:t>ТехноФест</w:t>
            </w:r>
            <w:proofErr w:type="spellEnd"/>
            <w:r>
              <w:rPr>
                <w:sz w:val="22"/>
                <w:szCs w:val="22"/>
              </w:rPr>
              <w:t>», интеллектуальная олимпиада Приволжского Федерального округа по направлениям «Робототехника», «Программирование и управление БПЛА», областное первенство по автомоделированию среди учащихся на Кубок ДОСААФ России по Нижегородской области «</w:t>
            </w:r>
            <w:r>
              <w:rPr>
                <w:sz w:val="22"/>
                <w:szCs w:val="22"/>
                <w:lang w:val="en-US"/>
              </w:rPr>
              <w:t>PRO</w:t>
            </w:r>
            <w:r w:rsidRPr="00500999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Авто», региональный конкурс по </w:t>
            </w:r>
            <w:proofErr w:type="spellStart"/>
            <w:r>
              <w:rPr>
                <w:sz w:val="22"/>
                <w:szCs w:val="22"/>
              </w:rPr>
              <w:t>авиакиберспорту</w:t>
            </w:r>
            <w:proofErr w:type="spellEnd"/>
            <w:r>
              <w:rPr>
                <w:sz w:val="22"/>
                <w:szCs w:val="22"/>
              </w:rPr>
              <w:t xml:space="preserve"> «Высший пилотаж», соревнования по автомоделизму «Семья рулит!», региональный чемпионат пилотирования дронов «Пилоты будущего», региональные соревнования по робототехнике «</w:t>
            </w:r>
            <w:proofErr w:type="spellStart"/>
            <w:r>
              <w:rPr>
                <w:sz w:val="22"/>
                <w:szCs w:val="22"/>
              </w:rPr>
              <w:t>Робо</w:t>
            </w:r>
            <w:proofErr w:type="spellEnd"/>
            <w:r>
              <w:rPr>
                <w:sz w:val="22"/>
                <w:szCs w:val="22"/>
                <w:lang w:val="en-US"/>
              </w:rPr>
              <w:t>Fest</w:t>
            </w:r>
            <w:r>
              <w:rPr>
                <w:sz w:val="22"/>
                <w:szCs w:val="22"/>
              </w:rPr>
              <w:t>», региональный конкурс начального технического моделирования и конструирования «Юный техник-моделист», Международный фестиваль «На взлет!», региональный фестиваль «</w:t>
            </w:r>
            <w:proofErr w:type="spellStart"/>
            <w:r>
              <w:rPr>
                <w:sz w:val="22"/>
                <w:szCs w:val="22"/>
              </w:rPr>
              <w:t>ПрофПогружение</w:t>
            </w:r>
            <w:proofErr w:type="spellEnd"/>
            <w:r>
              <w:rPr>
                <w:sz w:val="22"/>
                <w:szCs w:val="22"/>
              </w:rPr>
              <w:t xml:space="preserve">», Всероссийский дистанционный конкурс по авиа-киберспорта «Легендарный штурмовик ИЛ-2», региональный марафон детских инженерных проектов «Регион будущего: сокровища земли», </w:t>
            </w:r>
            <w:r w:rsidRPr="00E36CEF">
              <w:rPr>
                <w:sz w:val="22"/>
                <w:szCs w:val="22"/>
              </w:rPr>
              <w:t xml:space="preserve"> </w:t>
            </w:r>
            <w:r w:rsidRPr="003C7EAA">
              <w:rPr>
                <w:sz w:val="24"/>
                <w:szCs w:val="24"/>
                <w:lang w:eastAsia="en-US"/>
              </w:rPr>
              <w:t>Всероссийский чемпионат детского робототехн</w:t>
            </w:r>
            <w:r>
              <w:rPr>
                <w:sz w:val="24"/>
                <w:szCs w:val="24"/>
                <w:lang w:eastAsia="en-US"/>
              </w:rPr>
              <w:t xml:space="preserve">ического творчества «РОБОМИШКА», </w:t>
            </w:r>
          </w:p>
          <w:p w14:paraId="4FD01EC2" w14:textId="21B227CE" w:rsidR="0010177E" w:rsidRPr="0041570F" w:rsidRDefault="0010177E" w:rsidP="0010177E">
            <w:pPr>
              <w:jc w:val="both"/>
              <w:rPr>
                <w:sz w:val="22"/>
                <w:szCs w:val="22"/>
              </w:rPr>
            </w:pPr>
            <w:r w:rsidRPr="00B62FAA">
              <w:rPr>
                <w:color w:val="000000"/>
                <w:sz w:val="24"/>
                <w:szCs w:val="24"/>
                <w:shd w:val="clear" w:color="auto" w:fill="FFFFFF"/>
              </w:rPr>
              <w:t>олимпиада Приволжского федерального округа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среди школьников по направлениям</w:t>
            </w:r>
            <w:r w:rsidRPr="00B62FAA">
              <w:rPr>
                <w:color w:val="000000"/>
                <w:sz w:val="24"/>
                <w:szCs w:val="24"/>
                <w:shd w:val="clear" w:color="auto" w:fill="FFFFFF"/>
              </w:rPr>
              <w:t xml:space="preserve"> «Робототехника», «Управление и программирование беспилотных летательных аппаратов», областной робототехнический Марафон «Старт»,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областной чемпионат</w:t>
            </w:r>
            <w:r w:rsidRPr="00B62FAA"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B62FAA">
              <w:rPr>
                <w:color w:val="000000"/>
                <w:sz w:val="24"/>
                <w:szCs w:val="24"/>
                <w:shd w:val="clear" w:color="auto" w:fill="FFFFFF"/>
              </w:rPr>
              <w:t>СтартПРОФИ</w:t>
            </w:r>
            <w:proofErr w:type="spellEnd"/>
            <w:r w:rsidRPr="00B62FAA">
              <w:rPr>
                <w:color w:val="000000"/>
                <w:sz w:val="24"/>
                <w:szCs w:val="24"/>
                <w:shd w:val="clear" w:color="auto" w:fill="FFFFFF"/>
              </w:rPr>
              <w:t>», фестиваль беспилотной авиации «Дотянуться до неба», областной сетевой проект «Нижегородские каникулы», проект «Арт-класс. Атмосфера мастерства!», детско-родительский квест «Техно MIX»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мероприятия в рамках реализации смены «Движения Первых» ЛДП «Наш выбор», мероприятия в рамках реализации палаточного лагеря «Экстрим», каникулярных планов, мероприятия в рамках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Дня детских изобретений,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0358B8">
              <w:rPr>
                <w:sz w:val="24"/>
                <w:szCs w:val="24"/>
              </w:rPr>
              <w:t>фестиваль по беспилотным авиационным</w:t>
            </w:r>
            <w:r>
              <w:rPr>
                <w:sz w:val="24"/>
                <w:szCs w:val="24"/>
              </w:rPr>
              <w:t xml:space="preserve"> </w:t>
            </w:r>
            <w:r w:rsidRPr="000358B8">
              <w:rPr>
                <w:sz w:val="24"/>
                <w:szCs w:val="24"/>
              </w:rPr>
              <w:t>системам в Нижнем Новгороде – «БАС-2025», технический фестиваль «Творцы Будущего», мероприятие Всероссийского фестиваля «</w:t>
            </w:r>
            <w:proofErr w:type="spellStart"/>
            <w:r w:rsidRPr="000358B8">
              <w:rPr>
                <w:sz w:val="24"/>
                <w:szCs w:val="24"/>
              </w:rPr>
              <w:t>ПрофПогружение</w:t>
            </w:r>
            <w:proofErr w:type="spellEnd"/>
            <w:r w:rsidRPr="000358B8">
              <w:rPr>
                <w:sz w:val="24"/>
                <w:szCs w:val="24"/>
              </w:rPr>
              <w:t xml:space="preserve">» - Марафон детских инженерных проектов «Регион Будущего: инженеры завтрашнего дня», Международный конкурс робототехники «Робофинист-2025», </w:t>
            </w:r>
            <w:r>
              <w:rPr>
                <w:sz w:val="24"/>
                <w:szCs w:val="24"/>
              </w:rPr>
              <w:t>«</w:t>
            </w:r>
            <w:r w:rsidRPr="000358B8">
              <w:rPr>
                <w:sz w:val="24"/>
                <w:szCs w:val="24"/>
              </w:rPr>
              <w:t>Первый Кубок Нижегородской области по искусственному интеллекту и беспилотным технологиям</w:t>
            </w:r>
            <w:r>
              <w:rPr>
                <w:sz w:val="24"/>
                <w:szCs w:val="24"/>
              </w:rPr>
              <w:t>»</w:t>
            </w:r>
            <w:r w:rsidRPr="000358B8">
              <w:rPr>
                <w:sz w:val="24"/>
                <w:szCs w:val="24"/>
              </w:rPr>
              <w:t>.</w:t>
            </w:r>
          </w:p>
        </w:tc>
        <w:tc>
          <w:tcPr>
            <w:tcW w:w="2476" w:type="dxa"/>
            <w:vAlign w:val="center"/>
          </w:tcPr>
          <w:p w14:paraId="7E38CCFE" w14:textId="6F9E006A" w:rsidR="0010177E" w:rsidRPr="0041570F" w:rsidRDefault="0010177E" w:rsidP="0010177E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lastRenderedPageBreak/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922" w:type="dxa"/>
            <w:vAlign w:val="center"/>
          </w:tcPr>
          <w:p w14:paraId="186C2772" w14:textId="09A6B4EE" w:rsidR="0010177E" w:rsidRPr="0041570F" w:rsidRDefault="0010177E" w:rsidP="00101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774" w:type="dxa"/>
            <w:vAlign w:val="center"/>
          </w:tcPr>
          <w:p w14:paraId="2C050782" w14:textId="77777777" w:rsidR="0010177E" w:rsidRDefault="0010177E" w:rsidP="0010177E">
            <w:pPr>
              <w:jc w:val="center"/>
              <w:rPr>
                <w:sz w:val="22"/>
                <w:szCs w:val="22"/>
              </w:rPr>
            </w:pPr>
            <w:r w:rsidRPr="00363E03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7</w:t>
            </w:r>
          </w:p>
          <w:p w14:paraId="57FDD50D" w14:textId="77777777" w:rsidR="0010177E" w:rsidRDefault="0010177E" w:rsidP="0010177E">
            <w:pPr>
              <w:jc w:val="center"/>
              <w:rPr>
                <w:sz w:val="22"/>
                <w:szCs w:val="22"/>
              </w:rPr>
            </w:pPr>
          </w:p>
          <w:p w14:paraId="3FE330DC" w14:textId="77777777" w:rsidR="0010177E" w:rsidRDefault="0010177E" w:rsidP="0010177E">
            <w:pPr>
              <w:jc w:val="center"/>
              <w:rPr>
                <w:sz w:val="22"/>
                <w:szCs w:val="22"/>
              </w:rPr>
            </w:pPr>
          </w:p>
          <w:p w14:paraId="09D6394C" w14:textId="77777777" w:rsidR="0010177E" w:rsidRDefault="0010177E" w:rsidP="0010177E">
            <w:pPr>
              <w:jc w:val="center"/>
              <w:rPr>
                <w:sz w:val="22"/>
                <w:szCs w:val="22"/>
              </w:rPr>
            </w:pPr>
          </w:p>
          <w:p w14:paraId="7A60D61F" w14:textId="77777777" w:rsidR="0010177E" w:rsidRDefault="0010177E" w:rsidP="0010177E">
            <w:pPr>
              <w:jc w:val="center"/>
              <w:rPr>
                <w:sz w:val="22"/>
                <w:szCs w:val="22"/>
              </w:rPr>
            </w:pPr>
          </w:p>
          <w:p w14:paraId="70036855" w14:textId="77777777" w:rsidR="0010177E" w:rsidRDefault="0010177E" w:rsidP="00101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</w:t>
            </w:r>
          </w:p>
          <w:p w14:paraId="641D2847" w14:textId="5901902E" w:rsidR="0010177E" w:rsidRPr="0041570F" w:rsidRDefault="0010177E" w:rsidP="0010177E">
            <w:pPr>
              <w:jc w:val="center"/>
              <w:rPr>
                <w:sz w:val="22"/>
                <w:szCs w:val="22"/>
              </w:rPr>
            </w:pPr>
          </w:p>
        </w:tc>
      </w:tr>
      <w:tr w:rsidR="0010177E" w:rsidRPr="0041570F" w14:paraId="57BF4293" w14:textId="77777777" w:rsidTr="00674B9F">
        <w:tc>
          <w:tcPr>
            <w:tcW w:w="1118" w:type="dxa"/>
            <w:vAlign w:val="center"/>
          </w:tcPr>
          <w:p w14:paraId="5C04A7FB" w14:textId="2D2BFA48" w:rsidR="0010177E" w:rsidRPr="0041570F" w:rsidRDefault="0010177E" w:rsidP="001017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1.11.1.</w:t>
            </w:r>
          </w:p>
        </w:tc>
        <w:tc>
          <w:tcPr>
            <w:tcW w:w="3018" w:type="dxa"/>
            <w:vAlign w:val="center"/>
          </w:tcPr>
          <w:p w14:paraId="39AD1C67" w14:textId="69B1AFF7" w:rsidR="0010177E" w:rsidRPr="0041570F" w:rsidRDefault="0010177E" w:rsidP="0010177E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6425" w:type="dxa"/>
            <w:vAlign w:val="center"/>
          </w:tcPr>
          <w:p w14:paraId="18942086" w14:textId="0BE12E7C" w:rsidR="0034606D" w:rsidRDefault="00573BBE" w:rsidP="0034606D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rStyle w:val="ae"/>
                <w:i/>
                <w:lang w:val="ru-RU"/>
              </w:rPr>
            </w:pPr>
            <w:r>
              <w:fldChar w:fldCharType="begin"/>
            </w:r>
            <w:r w:rsidRPr="00003C03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003C03">
              <w:rPr>
                <w:lang w:val="ru-RU"/>
              </w:rPr>
              <w:instrText xml:space="preserve"> "</w:instrText>
            </w:r>
            <w:r>
              <w:instrText>h</w:instrText>
            </w:r>
            <w:r>
              <w:instrText>ttps</w:instrText>
            </w:r>
            <w:r w:rsidRPr="00003C03">
              <w:rPr>
                <w:lang w:val="ru-RU"/>
              </w:rPr>
              <w:instrText>://</w:instrText>
            </w:r>
            <w:r>
              <w:instrText>sergach</w:instrText>
            </w:r>
            <w:r w:rsidRPr="00003C03">
              <w:rPr>
                <w:lang w:val="ru-RU"/>
              </w:rPr>
              <w:instrText>.</w:instrText>
            </w:r>
            <w:r>
              <w:instrText>nobl</w:instrText>
            </w:r>
            <w:r w:rsidRPr="00003C03">
              <w:rPr>
                <w:lang w:val="ru-RU"/>
              </w:rPr>
              <w:instrText>.</w:instrText>
            </w:r>
            <w:r>
              <w:instrText>ru</w:instrText>
            </w:r>
            <w:r w:rsidRPr="00003C03">
              <w:rPr>
                <w:lang w:val="ru-RU"/>
              </w:rPr>
              <w:instrText>/</w:instrText>
            </w:r>
            <w:r>
              <w:instrText>activity</w:instrText>
            </w:r>
            <w:r w:rsidRPr="00003C03">
              <w:rPr>
                <w:lang w:val="ru-RU"/>
              </w:rPr>
              <w:instrText xml:space="preserve">/34483/" </w:instrText>
            </w:r>
            <w:r>
              <w:fldChar w:fldCharType="separate"/>
            </w:r>
            <w:r w:rsidR="0034606D" w:rsidRPr="00592ADE">
              <w:rPr>
                <w:rStyle w:val="ae"/>
                <w:i/>
                <w:lang w:val="ru-RU"/>
              </w:rPr>
              <w:t>https://sergach.nobl.ru/activity/34483/</w:t>
            </w:r>
            <w:r>
              <w:rPr>
                <w:rStyle w:val="ae"/>
                <w:i/>
                <w:lang w:val="ru-RU"/>
              </w:rPr>
              <w:fldChar w:fldCharType="end"/>
            </w:r>
          </w:p>
          <w:p w14:paraId="58C10890" w14:textId="3E1ABF6F" w:rsidR="004F7F20" w:rsidRPr="00592ADE" w:rsidRDefault="004F7F20" w:rsidP="0034606D">
            <w:pPr>
              <w:pStyle w:val="TableParagraph"/>
              <w:shd w:val="clear" w:color="auto" w:fill="FFFFFF" w:themeFill="background1"/>
              <w:spacing w:before="1"/>
              <w:ind w:left="105"/>
              <w:rPr>
                <w:i/>
                <w:lang w:val="ru-RU"/>
              </w:rPr>
            </w:pPr>
            <w:r w:rsidRPr="004F7F20">
              <w:rPr>
                <w:i/>
                <w:lang w:val="ru-RU"/>
              </w:rPr>
              <w:t>https://sergach.nobl.ru/activity/77522/</w:t>
            </w:r>
          </w:p>
          <w:p w14:paraId="41277B8D" w14:textId="273432F8" w:rsidR="0010177E" w:rsidRPr="0041570F" w:rsidRDefault="0010177E" w:rsidP="001017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22BBABCA" w14:textId="4127C241" w:rsidR="0010177E" w:rsidRPr="0041570F" w:rsidRDefault="0010177E" w:rsidP="0010177E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922" w:type="dxa"/>
            <w:vAlign w:val="center"/>
          </w:tcPr>
          <w:p w14:paraId="14BA1683" w14:textId="0C8131DD" w:rsidR="0010177E" w:rsidRPr="0041570F" w:rsidRDefault="0010177E" w:rsidP="00101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41FE66EC" w14:textId="5362B3D1" w:rsidR="0010177E" w:rsidRPr="0041570F" w:rsidRDefault="0010177E" w:rsidP="00101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6A88A1D1" w14:textId="77777777" w:rsidTr="00674B9F">
        <w:tc>
          <w:tcPr>
            <w:tcW w:w="1118" w:type="dxa"/>
            <w:vAlign w:val="center"/>
          </w:tcPr>
          <w:p w14:paraId="29F929E9" w14:textId="180F0542" w:rsidR="0034606D" w:rsidRPr="0041570F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3018" w:type="dxa"/>
          </w:tcPr>
          <w:p w14:paraId="56C9970D" w14:textId="0106A811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</w:t>
            </w:r>
            <w:r w:rsidRPr="00151805">
              <w:rPr>
                <w:sz w:val="22"/>
                <w:szCs w:val="22"/>
              </w:rPr>
              <w:lastRenderedPageBreak/>
              <w:t>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6425" w:type="dxa"/>
            <w:vAlign w:val="center"/>
          </w:tcPr>
          <w:p w14:paraId="2866F49F" w14:textId="77777777" w:rsidR="0034606D" w:rsidRDefault="00573BBE" w:rsidP="0034606D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hyperlink r:id="rId9" w:history="1">
              <w:r w:rsidR="0034606D" w:rsidRPr="00A662B0">
                <w:rPr>
                  <w:rStyle w:val="ae"/>
                  <w:i/>
                  <w:iCs/>
                  <w:sz w:val="22"/>
                  <w:szCs w:val="22"/>
                </w:rPr>
                <w:t>https://sergach.nobl.ru/activity/36770/</w:t>
              </w:r>
            </w:hyperlink>
          </w:p>
          <w:p w14:paraId="0EB4AB89" w14:textId="534F6873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44256A21" w14:textId="69232DAE" w:rsidR="0034606D" w:rsidRPr="0041570F" w:rsidRDefault="0034606D" w:rsidP="0034606D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 xml:space="preserve">Размещение на официальных сайтах муниципальных образований Нижегородской области в сети «Интернет» актуальной информации об объектах, находящихся </w:t>
            </w:r>
            <w:r w:rsidRPr="00151805">
              <w:rPr>
                <w:color w:val="000000"/>
                <w:sz w:val="22"/>
                <w:szCs w:val="22"/>
              </w:rPr>
              <w:lastRenderedPageBreak/>
              <w:t>в муниципальной собственности муниципальных образований Нижегородской области</w:t>
            </w:r>
          </w:p>
        </w:tc>
        <w:tc>
          <w:tcPr>
            <w:tcW w:w="922" w:type="dxa"/>
            <w:vAlign w:val="center"/>
          </w:tcPr>
          <w:p w14:paraId="6A655924" w14:textId="2ED7387B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74" w:type="dxa"/>
            <w:vAlign w:val="center"/>
          </w:tcPr>
          <w:p w14:paraId="4D199C29" w14:textId="119E99DB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32392C26" w14:textId="77777777" w:rsidTr="00674B9F">
        <w:tc>
          <w:tcPr>
            <w:tcW w:w="1118" w:type="dxa"/>
            <w:vAlign w:val="center"/>
          </w:tcPr>
          <w:p w14:paraId="6686130C" w14:textId="23F303B0" w:rsidR="0034606D" w:rsidRPr="0041570F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3018" w:type="dxa"/>
          </w:tcPr>
          <w:p w14:paraId="4095A148" w14:textId="7FF73634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6425" w:type="dxa"/>
            <w:vAlign w:val="center"/>
          </w:tcPr>
          <w:p w14:paraId="50FE6FB1" w14:textId="662D7CEE" w:rsidR="0034606D" w:rsidRDefault="00695703" w:rsidP="0034606D">
            <w:pPr>
              <w:jc w:val="both"/>
              <w:rPr>
                <w:sz w:val="22"/>
                <w:szCs w:val="22"/>
                <w:lang w:eastAsia="en-US"/>
              </w:rPr>
            </w:pPr>
            <w:hyperlink r:id="rId10" w:history="1">
              <w:r w:rsidRPr="001C3B0B">
                <w:rPr>
                  <w:rStyle w:val="ae"/>
                  <w:sz w:val="22"/>
                  <w:szCs w:val="22"/>
                  <w:lang w:val="en-US" w:eastAsia="en-US"/>
                </w:rPr>
                <w:t>https</w:t>
              </w:r>
              <w:r w:rsidRPr="001C3B0B">
                <w:rPr>
                  <w:rStyle w:val="ae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1C3B0B">
                <w:rPr>
                  <w:rStyle w:val="ae"/>
                  <w:sz w:val="22"/>
                  <w:szCs w:val="22"/>
                  <w:lang w:val="en-US" w:eastAsia="en-US"/>
                </w:rPr>
                <w:t>sergach</w:t>
              </w:r>
              <w:proofErr w:type="spellEnd"/>
              <w:r w:rsidRPr="001C3B0B">
                <w:rPr>
                  <w:rStyle w:val="ae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1C3B0B">
                <w:rPr>
                  <w:rStyle w:val="ae"/>
                  <w:sz w:val="22"/>
                  <w:szCs w:val="22"/>
                  <w:lang w:val="en-US" w:eastAsia="en-US"/>
                </w:rPr>
                <w:t>nobl</w:t>
              </w:r>
              <w:proofErr w:type="spellEnd"/>
              <w:r w:rsidRPr="001C3B0B">
                <w:rPr>
                  <w:rStyle w:val="ae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1C3B0B">
                <w:rPr>
                  <w:rStyle w:val="ae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1C3B0B">
                <w:rPr>
                  <w:rStyle w:val="ae"/>
                  <w:sz w:val="22"/>
                  <w:szCs w:val="22"/>
                  <w:lang w:eastAsia="en-US"/>
                </w:rPr>
                <w:t>/</w:t>
              </w:r>
              <w:r w:rsidRPr="001C3B0B">
                <w:rPr>
                  <w:rStyle w:val="ae"/>
                  <w:sz w:val="22"/>
                  <w:szCs w:val="22"/>
                  <w:lang w:val="en-US" w:eastAsia="en-US"/>
                </w:rPr>
                <w:t>activity</w:t>
              </w:r>
              <w:r w:rsidRPr="001C3B0B">
                <w:rPr>
                  <w:rStyle w:val="ae"/>
                  <w:sz w:val="22"/>
                  <w:szCs w:val="22"/>
                  <w:lang w:eastAsia="en-US"/>
                </w:rPr>
                <w:t>/30666/</w:t>
              </w:r>
            </w:hyperlink>
          </w:p>
          <w:p w14:paraId="47590C8A" w14:textId="2213144C" w:rsidR="00695703" w:rsidRPr="00695703" w:rsidRDefault="00695703" w:rsidP="00346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3E42EB9D" w14:textId="2BA9FB0C" w:rsidR="0034606D" w:rsidRPr="0041570F" w:rsidRDefault="0034606D" w:rsidP="0034606D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22" w:type="dxa"/>
            <w:vAlign w:val="center"/>
          </w:tcPr>
          <w:p w14:paraId="2855CBF0" w14:textId="3CDE78BF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7E7D9139" w14:textId="3DCAF9A0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3913D3E9" w14:textId="77777777" w:rsidTr="00674B9F">
        <w:tc>
          <w:tcPr>
            <w:tcW w:w="1118" w:type="dxa"/>
            <w:vAlign w:val="center"/>
          </w:tcPr>
          <w:p w14:paraId="023A3CFD" w14:textId="606A18EE" w:rsidR="0034606D" w:rsidRPr="0041570F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018" w:type="dxa"/>
            <w:vAlign w:val="center"/>
          </w:tcPr>
          <w:p w14:paraId="0F425DED" w14:textId="31146FE8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 xml:space="preserve"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</w:t>
            </w:r>
            <w:r w:rsidRPr="008C66CB">
              <w:rPr>
                <w:sz w:val="22"/>
                <w:szCs w:val="22"/>
              </w:rPr>
              <w:lastRenderedPageBreak/>
              <w:t>образования (в том числе по предоставлению льготных ставок налога на имущество)</w:t>
            </w:r>
          </w:p>
        </w:tc>
        <w:tc>
          <w:tcPr>
            <w:tcW w:w="6425" w:type="dxa"/>
            <w:vAlign w:val="center"/>
          </w:tcPr>
          <w:p w14:paraId="001A006E" w14:textId="46F936FC" w:rsidR="0034606D" w:rsidRPr="0034606D" w:rsidRDefault="0034606D" w:rsidP="0034606D">
            <w:pPr>
              <w:jc w:val="both"/>
              <w:rPr>
                <w:color w:val="7030A0"/>
                <w:sz w:val="22"/>
                <w:szCs w:val="22"/>
              </w:rPr>
            </w:pPr>
            <w:r w:rsidRPr="0034606D">
              <w:rPr>
                <w:sz w:val="22"/>
                <w:szCs w:val="22"/>
              </w:rPr>
              <w:lastRenderedPageBreak/>
              <w:t>На территории окр</w:t>
            </w:r>
            <w:r>
              <w:rPr>
                <w:sz w:val="22"/>
                <w:szCs w:val="22"/>
              </w:rPr>
              <w:t>у</w:t>
            </w:r>
            <w:r w:rsidRPr="0034606D">
              <w:rPr>
                <w:sz w:val="22"/>
                <w:szCs w:val="22"/>
              </w:rPr>
              <w:t>га отсутствуют негосударственные организации, реализующие программы дошкольного, общего и среднего профессионального образования</w:t>
            </w:r>
          </w:p>
        </w:tc>
        <w:tc>
          <w:tcPr>
            <w:tcW w:w="2476" w:type="dxa"/>
            <w:vAlign w:val="center"/>
          </w:tcPr>
          <w:p w14:paraId="008F3057" w14:textId="4800FA50" w:rsidR="0034606D" w:rsidRPr="0041570F" w:rsidRDefault="0034606D" w:rsidP="0034606D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22" w:type="dxa"/>
            <w:vAlign w:val="center"/>
          </w:tcPr>
          <w:p w14:paraId="103E2BD0" w14:textId="688FA680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3C2380E0" w14:textId="69F37BBA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60BF711D" w14:textId="77777777" w:rsidTr="00674B9F">
        <w:tc>
          <w:tcPr>
            <w:tcW w:w="1118" w:type="dxa"/>
            <w:vAlign w:val="center"/>
          </w:tcPr>
          <w:p w14:paraId="7A54B8A4" w14:textId="27160965" w:rsidR="0034606D" w:rsidRPr="0041570F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3018" w:type="dxa"/>
            <w:vAlign w:val="center"/>
          </w:tcPr>
          <w:p w14:paraId="1F3C766C" w14:textId="440C95B7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6425" w:type="dxa"/>
            <w:vAlign w:val="center"/>
          </w:tcPr>
          <w:p w14:paraId="6D97D709" w14:textId="4326B35C" w:rsidR="0034606D" w:rsidRPr="00316B0E" w:rsidRDefault="0034606D" w:rsidP="0034606D">
            <w:pPr>
              <w:jc w:val="both"/>
              <w:rPr>
                <w:color w:val="7030A0"/>
                <w:sz w:val="22"/>
                <w:szCs w:val="22"/>
              </w:rPr>
            </w:pPr>
            <w:r w:rsidRPr="00316B0E">
              <w:rPr>
                <w:sz w:val="22"/>
                <w:szCs w:val="22"/>
              </w:rPr>
              <w:t>Не ведется</w:t>
            </w:r>
            <w:r w:rsidR="00AD27EF">
              <w:rPr>
                <w:sz w:val="22"/>
                <w:szCs w:val="22"/>
              </w:rPr>
              <w:t xml:space="preserve">. </w:t>
            </w:r>
            <w:r w:rsidR="00AD27EF" w:rsidRPr="0034606D">
              <w:rPr>
                <w:sz w:val="22"/>
                <w:szCs w:val="22"/>
              </w:rPr>
              <w:t>На территории окр</w:t>
            </w:r>
            <w:r w:rsidR="00AD27EF">
              <w:rPr>
                <w:sz w:val="22"/>
                <w:szCs w:val="22"/>
              </w:rPr>
              <w:t>у</w:t>
            </w:r>
            <w:r w:rsidR="00AD27EF" w:rsidRPr="0034606D">
              <w:rPr>
                <w:sz w:val="22"/>
                <w:szCs w:val="22"/>
              </w:rPr>
              <w:t>га отсутствуют негосударственные организации, реализующие программы дошкольного, общего и среднего профессионального образования</w:t>
            </w:r>
          </w:p>
        </w:tc>
        <w:tc>
          <w:tcPr>
            <w:tcW w:w="2476" w:type="dxa"/>
            <w:vAlign w:val="center"/>
          </w:tcPr>
          <w:p w14:paraId="7521713F" w14:textId="77777777" w:rsidR="0034606D" w:rsidRPr="0041570F" w:rsidRDefault="0034606D" w:rsidP="0034606D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22" w:type="dxa"/>
            <w:vAlign w:val="center"/>
          </w:tcPr>
          <w:p w14:paraId="1F027D31" w14:textId="7777777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3D898BA8" w14:textId="7777777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7B28D062" w14:textId="77777777" w:rsidTr="00674B9F">
        <w:tc>
          <w:tcPr>
            <w:tcW w:w="1118" w:type="dxa"/>
            <w:vAlign w:val="center"/>
          </w:tcPr>
          <w:p w14:paraId="5BAFBCDB" w14:textId="1318CD64" w:rsidR="0034606D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018" w:type="dxa"/>
            <w:vAlign w:val="center"/>
          </w:tcPr>
          <w:p w14:paraId="7FED039B" w14:textId="690902A4" w:rsidR="0034606D" w:rsidRPr="008C66CB" w:rsidRDefault="0034606D" w:rsidP="0034606D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6425" w:type="dxa"/>
            <w:vAlign w:val="center"/>
          </w:tcPr>
          <w:p w14:paraId="60214933" w14:textId="77777777" w:rsidR="0034606D" w:rsidRPr="0049760C" w:rsidRDefault="0034606D" w:rsidP="0034606D">
            <w:pPr>
              <w:jc w:val="both"/>
              <w:rPr>
                <w:iCs/>
                <w:sz w:val="22"/>
                <w:szCs w:val="22"/>
              </w:rPr>
            </w:pPr>
            <w:r w:rsidRPr="0049760C">
              <w:rPr>
                <w:iCs/>
                <w:sz w:val="22"/>
                <w:szCs w:val="22"/>
              </w:rPr>
              <w:t>негосударственных организаций, предоставляющих услуги дошкольного, общего и среднего профессионального образования на территории Сергачского муниципального округа нет.</w:t>
            </w:r>
          </w:p>
          <w:p w14:paraId="42B060A6" w14:textId="24014784" w:rsidR="0034606D" w:rsidRPr="0041570F" w:rsidRDefault="0034606D" w:rsidP="0034606D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03788638" w14:textId="36D71AE2" w:rsidR="0034606D" w:rsidRPr="008C66CB" w:rsidRDefault="0034606D" w:rsidP="0034606D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922" w:type="dxa"/>
            <w:vAlign w:val="center"/>
          </w:tcPr>
          <w:p w14:paraId="41C1B184" w14:textId="752F1675" w:rsidR="0034606D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3EC3DE02" w14:textId="2A7D75D9" w:rsidR="0034606D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4B535B15" w14:textId="77777777" w:rsidTr="00674B9F">
        <w:tc>
          <w:tcPr>
            <w:tcW w:w="1118" w:type="dxa"/>
            <w:vAlign w:val="center"/>
          </w:tcPr>
          <w:p w14:paraId="1C0F6285" w14:textId="5D683A8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3018" w:type="dxa"/>
            <w:vAlign w:val="center"/>
          </w:tcPr>
          <w:p w14:paraId="1543429D" w14:textId="03E5CF22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6425" w:type="dxa"/>
            <w:vAlign w:val="center"/>
          </w:tcPr>
          <w:p w14:paraId="505F40A6" w14:textId="706317D3" w:rsidR="0034606D" w:rsidRPr="0041570F" w:rsidRDefault="00235B64" w:rsidP="0034606D">
            <w:pPr>
              <w:jc w:val="both"/>
              <w:rPr>
                <w:sz w:val="22"/>
                <w:szCs w:val="22"/>
              </w:rPr>
            </w:pPr>
            <w:r w:rsidRPr="00357F77">
              <w:rPr>
                <w:sz w:val="22"/>
                <w:szCs w:val="22"/>
              </w:rPr>
              <w:t>Актуальная редакция схемы размещения нестационарных торговых объектов</w:t>
            </w:r>
            <w:r>
              <w:rPr>
                <w:sz w:val="22"/>
                <w:szCs w:val="22"/>
              </w:rPr>
              <w:t xml:space="preserve"> утверждена постановлением Администрации Сергачского муниципального округа от 16 января 2026 г. № 07, в которую включено  70 объектов. </w:t>
            </w:r>
            <w:r>
              <w:rPr>
                <w:i/>
                <w:iCs/>
                <w:color w:val="7030A0"/>
                <w:sz w:val="22"/>
                <w:szCs w:val="22"/>
              </w:rPr>
              <w:t xml:space="preserve">  </w:t>
            </w:r>
          </w:p>
        </w:tc>
        <w:tc>
          <w:tcPr>
            <w:tcW w:w="2476" w:type="dxa"/>
            <w:vAlign w:val="center"/>
          </w:tcPr>
          <w:p w14:paraId="7140024F" w14:textId="6750A133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922" w:type="dxa"/>
            <w:vAlign w:val="center"/>
          </w:tcPr>
          <w:p w14:paraId="000A1C22" w14:textId="47242AEC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3FA58104" w14:textId="518F8CE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32AB0166" w14:textId="77777777" w:rsidTr="00674B9F">
        <w:tc>
          <w:tcPr>
            <w:tcW w:w="1118" w:type="dxa"/>
            <w:vAlign w:val="center"/>
          </w:tcPr>
          <w:p w14:paraId="17A08DD0" w14:textId="73BD8520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018" w:type="dxa"/>
            <w:vAlign w:val="center"/>
          </w:tcPr>
          <w:p w14:paraId="056D1D36" w14:textId="48CC4418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6425" w:type="dxa"/>
            <w:vAlign w:val="center"/>
          </w:tcPr>
          <w:p w14:paraId="46066062" w14:textId="3C343FC3" w:rsidR="0034606D" w:rsidRPr="0041570F" w:rsidRDefault="00235B64" w:rsidP="0034606D">
            <w:pPr>
              <w:jc w:val="both"/>
              <w:rPr>
                <w:sz w:val="22"/>
                <w:szCs w:val="22"/>
              </w:rPr>
            </w:pPr>
            <w:r w:rsidRPr="00047326">
              <w:rPr>
                <w:sz w:val="22"/>
                <w:szCs w:val="22"/>
              </w:rPr>
              <w:t>В соответствии с графиком</w:t>
            </w:r>
            <w:r>
              <w:rPr>
                <w:sz w:val="22"/>
                <w:szCs w:val="22"/>
              </w:rPr>
              <w:t>,</w:t>
            </w:r>
            <w:r w:rsidRPr="00047326">
              <w:rPr>
                <w:sz w:val="22"/>
                <w:szCs w:val="22"/>
              </w:rPr>
              <w:t xml:space="preserve"> проведен</w:t>
            </w:r>
            <w:r>
              <w:rPr>
                <w:sz w:val="22"/>
                <w:szCs w:val="22"/>
              </w:rPr>
              <w:t xml:space="preserve">о 1 </w:t>
            </w:r>
            <w:r w:rsidRPr="00047326">
              <w:rPr>
                <w:sz w:val="22"/>
                <w:szCs w:val="22"/>
              </w:rPr>
              <w:t xml:space="preserve"> ярмарочн</w:t>
            </w:r>
            <w:r>
              <w:rPr>
                <w:sz w:val="22"/>
                <w:szCs w:val="22"/>
              </w:rPr>
              <w:t>ое</w:t>
            </w:r>
            <w:r w:rsidRPr="00047326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е</w:t>
            </w:r>
            <w:r w:rsidRPr="00047326">
              <w:rPr>
                <w:sz w:val="22"/>
                <w:szCs w:val="22"/>
              </w:rPr>
              <w:t xml:space="preserve">  «Покупайте нижегородское»</w:t>
            </w:r>
            <w:r>
              <w:rPr>
                <w:sz w:val="22"/>
                <w:szCs w:val="22"/>
              </w:rPr>
              <w:t>, приуроченное к празднованию Дня города Сергач.</w:t>
            </w:r>
          </w:p>
        </w:tc>
        <w:tc>
          <w:tcPr>
            <w:tcW w:w="2476" w:type="dxa"/>
            <w:vAlign w:val="center"/>
          </w:tcPr>
          <w:p w14:paraId="7DAC592D" w14:textId="4E58CDE7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22" w:type="dxa"/>
            <w:vAlign w:val="center"/>
          </w:tcPr>
          <w:p w14:paraId="769AFA9C" w14:textId="0B1D6CB6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57E621C9" w14:textId="02E04016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45CF054C" w14:textId="77777777" w:rsidTr="00674B9F">
        <w:tc>
          <w:tcPr>
            <w:tcW w:w="1118" w:type="dxa"/>
          </w:tcPr>
          <w:p w14:paraId="7D1732C8" w14:textId="5C1428C9" w:rsidR="0034606D" w:rsidRPr="00824CC1" w:rsidRDefault="0034606D" w:rsidP="0034606D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919" w:type="dxa"/>
            <w:gridSpan w:val="3"/>
          </w:tcPr>
          <w:p w14:paraId="5A683544" w14:textId="235C0446" w:rsidR="0034606D" w:rsidRDefault="0034606D" w:rsidP="0034606D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922" w:type="dxa"/>
            <w:vAlign w:val="center"/>
          </w:tcPr>
          <w:p w14:paraId="6AD052E2" w14:textId="77777777" w:rsidR="0034606D" w:rsidRDefault="0034606D" w:rsidP="00346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5508987E" w14:textId="77777777" w:rsidR="0034606D" w:rsidRDefault="0034606D" w:rsidP="0034606D">
            <w:pPr>
              <w:jc w:val="center"/>
              <w:rPr>
                <w:sz w:val="22"/>
                <w:szCs w:val="22"/>
              </w:rPr>
            </w:pPr>
          </w:p>
        </w:tc>
      </w:tr>
      <w:tr w:rsidR="0034606D" w:rsidRPr="00824CC1" w14:paraId="6686EB99" w14:textId="77777777" w:rsidTr="00674B9F">
        <w:tc>
          <w:tcPr>
            <w:tcW w:w="1118" w:type="dxa"/>
            <w:vAlign w:val="center"/>
          </w:tcPr>
          <w:p w14:paraId="4EA5BB77" w14:textId="6D234911" w:rsidR="0034606D" w:rsidRPr="00824CC1" w:rsidRDefault="0034606D" w:rsidP="003460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lastRenderedPageBreak/>
              <w:t>2.10.</w:t>
            </w:r>
          </w:p>
        </w:tc>
        <w:tc>
          <w:tcPr>
            <w:tcW w:w="11919" w:type="dxa"/>
            <w:gridSpan w:val="3"/>
            <w:vAlign w:val="center"/>
          </w:tcPr>
          <w:p w14:paraId="1F730A35" w14:textId="5A9EA75E" w:rsidR="0034606D" w:rsidRPr="00824CC1" w:rsidRDefault="0034606D" w:rsidP="0034606D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22" w:type="dxa"/>
            <w:vAlign w:val="center"/>
          </w:tcPr>
          <w:p w14:paraId="1B5B5EC9" w14:textId="77777777" w:rsidR="0034606D" w:rsidRPr="00824CC1" w:rsidRDefault="0034606D" w:rsidP="003460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vAlign w:val="center"/>
          </w:tcPr>
          <w:p w14:paraId="1B4FFC18" w14:textId="77777777" w:rsidR="0034606D" w:rsidRPr="00824CC1" w:rsidRDefault="0034606D" w:rsidP="003460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4606D" w:rsidRPr="0041570F" w14:paraId="6C193B68" w14:textId="77777777" w:rsidTr="00674B9F">
        <w:tc>
          <w:tcPr>
            <w:tcW w:w="1118" w:type="dxa"/>
            <w:vAlign w:val="center"/>
          </w:tcPr>
          <w:p w14:paraId="2FB12279" w14:textId="65E9E75F" w:rsidR="0034606D" w:rsidRPr="0041570F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018" w:type="dxa"/>
            <w:vAlign w:val="center"/>
          </w:tcPr>
          <w:p w14:paraId="39845AF8" w14:textId="4F0835EF" w:rsidR="0034606D" w:rsidRPr="0041570F" w:rsidRDefault="0034606D" w:rsidP="0034606D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6425" w:type="dxa"/>
            <w:vAlign w:val="center"/>
          </w:tcPr>
          <w:p w14:paraId="25A29BDC" w14:textId="1C8EF9E5" w:rsidR="0034606D" w:rsidRPr="0041570F" w:rsidRDefault="00235B64" w:rsidP="0034606D">
            <w:pPr>
              <w:jc w:val="both"/>
              <w:rPr>
                <w:sz w:val="22"/>
                <w:szCs w:val="22"/>
              </w:rPr>
            </w:pPr>
            <w:r w:rsidRPr="005278DB">
              <w:rPr>
                <w:color w:val="000000"/>
                <w:sz w:val="22"/>
                <w:szCs w:val="22"/>
              </w:rPr>
              <w:t xml:space="preserve">Из 53 кладбищ, </w:t>
            </w:r>
            <w:r w:rsidR="00AD27EF">
              <w:rPr>
                <w:color w:val="000000"/>
                <w:sz w:val="22"/>
                <w:szCs w:val="22"/>
              </w:rPr>
              <w:t xml:space="preserve">частичная </w:t>
            </w:r>
            <w:r w:rsidRPr="005278DB">
              <w:rPr>
                <w:color w:val="000000"/>
                <w:sz w:val="22"/>
                <w:szCs w:val="22"/>
              </w:rPr>
              <w:t>инвентаризация проведена на 4 кладбищах, что составляет 7,6 %.</w:t>
            </w:r>
          </w:p>
        </w:tc>
        <w:tc>
          <w:tcPr>
            <w:tcW w:w="2476" w:type="dxa"/>
            <w:vAlign w:val="center"/>
          </w:tcPr>
          <w:p w14:paraId="6A421080" w14:textId="34ED56D9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922" w:type="dxa"/>
            <w:vAlign w:val="center"/>
          </w:tcPr>
          <w:p w14:paraId="037FE694" w14:textId="42828EA9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5CBD7AB4" w14:textId="4EE520B2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35B64" w:rsidRPr="0041570F" w14:paraId="55AE53F9" w14:textId="77777777" w:rsidTr="00674B9F">
        <w:tc>
          <w:tcPr>
            <w:tcW w:w="1118" w:type="dxa"/>
            <w:vAlign w:val="center"/>
          </w:tcPr>
          <w:p w14:paraId="120C4CB4" w14:textId="67A361AF" w:rsidR="00235B64" w:rsidRPr="00345767" w:rsidRDefault="00235B64" w:rsidP="00235B64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018" w:type="dxa"/>
            <w:vAlign w:val="center"/>
          </w:tcPr>
          <w:p w14:paraId="7CE75B5F" w14:textId="3A140A0B" w:rsidR="00235B64" w:rsidRPr="00345767" w:rsidRDefault="00235B64" w:rsidP="00235B64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6425" w:type="dxa"/>
            <w:vAlign w:val="center"/>
          </w:tcPr>
          <w:p w14:paraId="52A93E60" w14:textId="66D57295" w:rsidR="00235B64" w:rsidRPr="00345767" w:rsidRDefault="00235B64" w:rsidP="00235B6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50357">
              <w:rPr>
                <w:color w:val="000000"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2476" w:type="dxa"/>
            <w:vAlign w:val="center"/>
          </w:tcPr>
          <w:p w14:paraId="41CAD43F" w14:textId="67B9F871" w:rsidR="00235B64" w:rsidRPr="00345767" w:rsidRDefault="00235B64" w:rsidP="00235B64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22" w:type="dxa"/>
            <w:vAlign w:val="center"/>
          </w:tcPr>
          <w:p w14:paraId="5197E48F" w14:textId="7C889515" w:rsidR="00235B64" w:rsidRPr="00345767" w:rsidRDefault="00235B64" w:rsidP="00235B64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1D3D59E4" w14:textId="4204EA28" w:rsidR="00235B64" w:rsidRPr="0041570F" w:rsidRDefault="00235B64" w:rsidP="00235B64">
            <w:pPr>
              <w:jc w:val="center"/>
              <w:rPr>
                <w:sz w:val="22"/>
                <w:szCs w:val="22"/>
              </w:rPr>
            </w:pPr>
          </w:p>
        </w:tc>
      </w:tr>
      <w:tr w:rsidR="00235B64" w:rsidRPr="0041570F" w14:paraId="475809C9" w14:textId="77777777" w:rsidTr="00674B9F">
        <w:tc>
          <w:tcPr>
            <w:tcW w:w="1118" w:type="dxa"/>
            <w:vAlign w:val="center"/>
          </w:tcPr>
          <w:p w14:paraId="538ADDF3" w14:textId="5F5A30C1" w:rsidR="00235B64" w:rsidRPr="00345767" w:rsidRDefault="00235B64" w:rsidP="00235B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3018" w:type="dxa"/>
            <w:vAlign w:val="center"/>
          </w:tcPr>
          <w:p w14:paraId="1171A399" w14:textId="18C1E25C" w:rsidR="00235B64" w:rsidRPr="00345767" w:rsidRDefault="00235B64" w:rsidP="00235B64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6425" w:type="dxa"/>
            <w:vAlign w:val="center"/>
          </w:tcPr>
          <w:p w14:paraId="4F9DE2C6" w14:textId="154D1E62" w:rsidR="00235B64" w:rsidRPr="00345767" w:rsidRDefault="00235B64" w:rsidP="00235B6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50357">
              <w:rPr>
                <w:color w:val="000000"/>
                <w:sz w:val="22"/>
                <w:szCs w:val="22"/>
              </w:rPr>
              <w:t>Не предпринималось никаких действий</w:t>
            </w:r>
          </w:p>
        </w:tc>
        <w:tc>
          <w:tcPr>
            <w:tcW w:w="2476" w:type="dxa"/>
            <w:vAlign w:val="center"/>
          </w:tcPr>
          <w:p w14:paraId="771196A0" w14:textId="1D19DB7D" w:rsidR="00235B64" w:rsidRPr="00345767" w:rsidRDefault="00235B64" w:rsidP="00235B64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22" w:type="dxa"/>
            <w:vAlign w:val="center"/>
          </w:tcPr>
          <w:p w14:paraId="78CC6A03" w14:textId="04061B90" w:rsidR="00235B64" w:rsidRPr="00345767" w:rsidRDefault="00235B64" w:rsidP="00235B64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550BF8E3" w14:textId="77777777" w:rsidR="00235B64" w:rsidRPr="0041570F" w:rsidRDefault="00235B64" w:rsidP="00235B64">
            <w:pPr>
              <w:jc w:val="center"/>
              <w:rPr>
                <w:sz w:val="22"/>
                <w:szCs w:val="22"/>
              </w:rPr>
            </w:pPr>
          </w:p>
        </w:tc>
      </w:tr>
      <w:tr w:rsidR="00235B64" w:rsidRPr="0041570F" w14:paraId="69C4287F" w14:textId="77777777" w:rsidTr="00674B9F">
        <w:tc>
          <w:tcPr>
            <w:tcW w:w="1118" w:type="dxa"/>
            <w:vAlign w:val="center"/>
          </w:tcPr>
          <w:p w14:paraId="06463DE1" w14:textId="6A1C5AEC" w:rsidR="00235B64" w:rsidRPr="0017222B" w:rsidRDefault="00235B64" w:rsidP="00235B64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018" w:type="dxa"/>
            <w:vAlign w:val="center"/>
          </w:tcPr>
          <w:p w14:paraId="4FC08FB8" w14:textId="1DBD1548" w:rsidR="00235B64" w:rsidRPr="0017222B" w:rsidRDefault="00235B64" w:rsidP="00235B64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 xml:space="preserve">Организация оказания ритуальных услуг по принципу «одного окна» на </w:t>
            </w:r>
            <w:r w:rsidRPr="0017222B">
              <w:rPr>
                <w:color w:val="000000"/>
                <w:sz w:val="22"/>
                <w:szCs w:val="22"/>
              </w:rPr>
              <w:lastRenderedPageBreak/>
              <w:t>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6425" w:type="dxa"/>
            <w:vAlign w:val="center"/>
          </w:tcPr>
          <w:p w14:paraId="70FDB59D" w14:textId="10478BDA" w:rsidR="00235B64" w:rsidRPr="0017222B" w:rsidRDefault="00235B64" w:rsidP="00235B64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50357">
              <w:rPr>
                <w:color w:val="000000"/>
                <w:sz w:val="22"/>
                <w:szCs w:val="22"/>
              </w:rPr>
              <w:lastRenderedPageBreak/>
              <w:t>Не предпринималось никаких действий</w:t>
            </w:r>
          </w:p>
        </w:tc>
        <w:tc>
          <w:tcPr>
            <w:tcW w:w="2476" w:type="dxa"/>
            <w:vAlign w:val="center"/>
          </w:tcPr>
          <w:p w14:paraId="502D4C82" w14:textId="77777777" w:rsidR="00235B64" w:rsidRPr="0017222B" w:rsidRDefault="00235B64" w:rsidP="00235B64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22" w:type="dxa"/>
            <w:vAlign w:val="center"/>
          </w:tcPr>
          <w:p w14:paraId="74DCF675" w14:textId="054F30EA" w:rsidR="00235B64" w:rsidRPr="0017222B" w:rsidRDefault="00235B64" w:rsidP="00235B64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5BE7E189" w14:textId="4A142473" w:rsidR="00235B64" w:rsidRPr="0041570F" w:rsidRDefault="00235B64" w:rsidP="00235B64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34606D" w:rsidRPr="0041570F" w14:paraId="3238DACE" w14:textId="77777777" w:rsidTr="00674B9F">
        <w:tc>
          <w:tcPr>
            <w:tcW w:w="1118" w:type="dxa"/>
            <w:vAlign w:val="center"/>
          </w:tcPr>
          <w:p w14:paraId="459B28FF" w14:textId="2702D5F9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18" w:type="dxa"/>
            <w:vAlign w:val="center"/>
          </w:tcPr>
          <w:p w14:paraId="6C80A822" w14:textId="56C0A36A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6425" w:type="dxa"/>
            <w:vAlign w:val="center"/>
          </w:tcPr>
          <w:p w14:paraId="23E0C9E3" w14:textId="567BA2CE" w:rsidR="0034606D" w:rsidRPr="0041570F" w:rsidRDefault="00235B64" w:rsidP="00346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Ведется реестр кладбищ, расположенных на территории Сергачского муниципального округа</w:t>
            </w:r>
          </w:p>
        </w:tc>
        <w:tc>
          <w:tcPr>
            <w:tcW w:w="2476" w:type="dxa"/>
            <w:vAlign w:val="center"/>
          </w:tcPr>
          <w:p w14:paraId="01ADE03C" w14:textId="7CE666CF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922" w:type="dxa"/>
            <w:vAlign w:val="center"/>
          </w:tcPr>
          <w:p w14:paraId="06801E50" w14:textId="7777777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7C17A599" w14:textId="7777777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7334FA1B" w14:textId="77777777" w:rsidTr="00674B9F">
        <w:tc>
          <w:tcPr>
            <w:tcW w:w="1118" w:type="dxa"/>
            <w:vAlign w:val="center"/>
          </w:tcPr>
          <w:p w14:paraId="6A33D65E" w14:textId="45AE4F3B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</w:t>
            </w:r>
            <w:r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  <w:vAlign w:val="center"/>
          </w:tcPr>
          <w:p w14:paraId="61B3CBCF" w14:textId="40D22418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6425" w:type="dxa"/>
            <w:vAlign w:val="center"/>
          </w:tcPr>
          <w:p w14:paraId="24B5B97A" w14:textId="77777777" w:rsidR="0034606D" w:rsidRDefault="007A0EC3" w:rsidP="0034606D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>В 2025 г.  в рамках проекта «Вам решать» было реализовано 7 проектов</w:t>
            </w:r>
            <w:r>
              <w:rPr>
                <w:color w:val="1A1A1A"/>
                <w:sz w:val="22"/>
                <w:szCs w:val="22"/>
                <w:lang w:eastAsia="ru-RU"/>
              </w:rPr>
              <w:t>, по ним проведены опросы;</w:t>
            </w:r>
          </w:p>
          <w:p w14:paraId="499EA11C" w14:textId="0349BD1E" w:rsidR="007A0EC3" w:rsidRPr="0041570F" w:rsidRDefault="007A0EC3" w:rsidP="00244B1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рамках реализации проекта </w:t>
            </w:r>
            <w:r w:rsidRPr="007A0EC3">
              <w:rPr>
                <w:color w:val="000000" w:themeColor="text1"/>
                <w:sz w:val="22"/>
                <w:szCs w:val="22"/>
              </w:rPr>
              <w:t>Благоустройства привокзальной площади по адресу: Нижегородская область г. Сергач, ул. Школьная</w:t>
            </w:r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нац.проект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A0EC3">
              <w:rPr>
                <w:i/>
                <w:iCs/>
                <w:color w:val="000000"/>
                <w:sz w:val="22"/>
                <w:szCs w:val="22"/>
              </w:rPr>
              <w:t>«Инфраструктура для жизни»</w:t>
            </w:r>
            <w:r w:rsidR="00244B1D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Pr="007A0E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A0EC3">
              <w:rPr>
                <w:color w:val="000000"/>
                <w:sz w:val="22"/>
                <w:szCs w:val="22"/>
              </w:rPr>
              <w:t>Федеральный проект</w:t>
            </w:r>
            <w:r w:rsidR="00244B1D">
              <w:rPr>
                <w:color w:val="000000"/>
                <w:sz w:val="22"/>
                <w:szCs w:val="22"/>
              </w:rPr>
              <w:t xml:space="preserve"> </w:t>
            </w:r>
            <w:r w:rsidRPr="007A0EC3">
              <w:rPr>
                <w:color w:val="000000"/>
                <w:sz w:val="22"/>
                <w:szCs w:val="22"/>
              </w:rPr>
              <w:t xml:space="preserve">«Формирование комфортной городской среды» </w:t>
            </w:r>
            <w:r w:rsidR="00244B1D">
              <w:rPr>
                <w:color w:val="000000"/>
                <w:sz w:val="22"/>
                <w:szCs w:val="22"/>
              </w:rPr>
              <w:t>-1 опрос</w:t>
            </w:r>
          </w:p>
        </w:tc>
        <w:tc>
          <w:tcPr>
            <w:tcW w:w="2476" w:type="dxa"/>
            <w:vAlign w:val="center"/>
          </w:tcPr>
          <w:p w14:paraId="65979200" w14:textId="418DC2E7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922" w:type="dxa"/>
            <w:vAlign w:val="center"/>
          </w:tcPr>
          <w:p w14:paraId="5F906598" w14:textId="794E4B66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02C8FA3F" w14:textId="7B4889D9" w:rsidR="0034606D" w:rsidRPr="0041570F" w:rsidRDefault="007A0EC3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4606D" w:rsidRPr="0041570F" w14:paraId="362D2A04" w14:textId="77777777" w:rsidTr="00674B9F">
        <w:tc>
          <w:tcPr>
            <w:tcW w:w="1118" w:type="dxa"/>
            <w:vAlign w:val="center"/>
          </w:tcPr>
          <w:p w14:paraId="6BEE680B" w14:textId="1C4A4959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3018" w:type="dxa"/>
            <w:vAlign w:val="center"/>
          </w:tcPr>
          <w:p w14:paraId="341A4C2F" w14:textId="0C0E7C61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CC7A0B">
              <w:rPr>
                <w:sz w:val="22"/>
                <w:szCs w:val="22"/>
              </w:rPr>
              <w:t>муниципально</w:t>
            </w:r>
            <w:proofErr w:type="spellEnd"/>
            <w:r w:rsidRPr="00CC7A0B">
              <w:rPr>
                <w:sz w:val="22"/>
                <w:szCs w:val="22"/>
              </w:rPr>
              <w:t xml:space="preserve">-частного партнерства в сфере благоустройства городской </w:t>
            </w:r>
            <w:r w:rsidRPr="00CC7A0B">
              <w:rPr>
                <w:sz w:val="22"/>
                <w:szCs w:val="22"/>
              </w:rPr>
              <w:lastRenderedPageBreak/>
              <w:t xml:space="preserve">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6425" w:type="dxa"/>
            <w:vAlign w:val="center"/>
          </w:tcPr>
          <w:p w14:paraId="0C724BD0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lastRenderedPageBreak/>
              <w:t> В 2025 г.  в рамках проекта «Вам решать» было реализовано 7 проектов.</w:t>
            </w:r>
          </w:p>
          <w:p w14:paraId="17D32D8D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> Общий объём финансирования составил - 30,21 млн. рублей, из которых 18,4 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 – средства областного </w:t>
            </w:r>
            <w:r w:rsidRPr="007A0EC3">
              <w:rPr>
                <w:color w:val="1A1A1A"/>
                <w:sz w:val="22"/>
                <w:szCs w:val="22"/>
                <w:lang w:eastAsia="ru-RU"/>
              </w:rPr>
              <w:lastRenderedPageBreak/>
              <w:t>бюджета, 10,7 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 – средства местного бюджета, 1,11 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.– привлеченные внебюджетные средства;</w:t>
            </w:r>
          </w:p>
          <w:p w14:paraId="1B873C89" w14:textId="54B52BE5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>   </w:t>
            </w:r>
            <w:proofErr w:type="spellStart"/>
            <w:r w:rsidRPr="007A0EC3">
              <w:rPr>
                <w:i/>
                <w:iCs/>
                <w:color w:val="1A1A1A"/>
                <w:sz w:val="22"/>
                <w:szCs w:val="22"/>
                <w:lang w:eastAsia="ru-RU"/>
              </w:rPr>
              <w:t>Ачкинский</w:t>
            </w:r>
            <w:proofErr w:type="spellEnd"/>
            <w:r w:rsidRPr="007A0EC3">
              <w:rPr>
                <w:i/>
                <w:iCs/>
                <w:color w:val="1A1A1A"/>
                <w:sz w:val="22"/>
                <w:szCs w:val="22"/>
                <w:lang w:eastAsia="ru-RU"/>
              </w:rPr>
              <w:t xml:space="preserve"> территориальный отдел</w:t>
            </w:r>
          </w:p>
          <w:p w14:paraId="2E2A2418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- Ремонт дороги в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с.Акузово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по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ул.Школьная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от д.31 до д.1,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ул.Солнечная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от д.11 до д.18.  Общая сумма средств – 4,66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 (областной бюджет – 2,92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 местный бюджет  – 1,69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 внебюджетные - 0,047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.)</w:t>
            </w:r>
          </w:p>
          <w:p w14:paraId="21B77BC5" w14:textId="07D89325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i/>
                <w:iCs/>
                <w:color w:val="1A1A1A"/>
                <w:sz w:val="22"/>
                <w:szCs w:val="22"/>
                <w:lang w:eastAsia="ru-RU"/>
              </w:rPr>
              <w:t>     Богородский территориальный отдел</w:t>
            </w:r>
          </w:p>
          <w:p w14:paraId="1714003F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- Ремонт автомобильной дороги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с.Анда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ул.Средняя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  Общая сумма средств – 3,48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(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обл.бюджет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– 2,35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 местный бюджет- 0,96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внебюджет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-</w:t>
            </w:r>
          </w:p>
          <w:p w14:paraId="755A35E5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ные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- 0,17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.)</w:t>
            </w:r>
          </w:p>
          <w:p w14:paraId="20D27732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- Ремонт автомобильной дороги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с.Богородское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подъезд к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ул.Вязовка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  Общая сумма средств – 3,95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(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обл.бюджет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- 2,37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местный бюджет-1,5 млн.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.,внебюджетные - 0,08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.)</w:t>
            </w:r>
          </w:p>
          <w:p w14:paraId="45338D4F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- Ремонт автомобильной дороги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с.Анда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ул.Колхозная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  Общая сумма средств – 3,95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(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обл.бюджет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- 2,37млн.руб., местный бюджет - 1,38 млн.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.,внебюджетные - 0,2 млн.руб.)                       </w:t>
            </w:r>
          </w:p>
          <w:p w14:paraId="34B245F8" w14:textId="7A70CBEA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> </w:t>
            </w:r>
            <w:r w:rsidRPr="007A0EC3">
              <w:rPr>
                <w:i/>
                <w:iCs/>
                <w:color w:val="1A1A1A"/>
                <w:sz w:val="22"/>
                <w:szCs w:val="22"/>
                <w:lang w:eastAsia="ru-RU"/>
              </w:rPr>
              <w:t xml:space="preserve">    </w:t>
            </w:r>
            <w:proofErr w:type="spellStart"/>
            <w:r w:rsidRPr="007A0EC3">
              <w:rPr>
                <w:i/>
                <w:iCs/>
                <w:color w:val="1A1A1A"/>
                <w:sz w:val="22"/>
                <w:szCs w:val="22"/>
                <w:lang w:eastAsia="ru-RU"/>
              </w:rPr>
              <w:t>Кочко</w:t>
            </w:r>
            <w:proofErr w:type="spellEnd"/>
            <w:r w:rsidRPr="007A0EC3">
              <w:rPr>
                <w:i/>
                <w:iCs/>
                <w:color w:val="1A1A1A"/>
                <w:sz w:val="22"/>
                <w:szCs w:val="22"/>
                <w:lang w:eastAsia="ru-RU"/>
              </w:rPr>
              <w:t>-Пожарский отдел</w:t>
            </w:r>
          </w:p>
          <w:p w14:paraId="36331336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  Ремонт автомобильной дороги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с.Кочко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-Пожарки по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ул.Октябрьская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(участок №7, участок №8, участок №9, участок №9, участок №10). Общая сумма средств – 4,99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(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обл.бюджет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– 3,0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местный бюджет – 1,69 млн.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.,внебюджетные - 0,3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.)</w:t>
            </w:r>
          </w:p>
          <w:p w14:paraId="6074C978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>                                            Лопатинский территориальный отдел</w:t>
            </w:r>
          </w:p>
          <w:p w14:paraId="7B61EC0A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- Благоустройство зоны отдыха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с.Пица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ул.Приозерная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  Общая сумма средств – 4,07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(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обл.бюджет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– 2,4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местный бюджет – 1,47 млн.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.,внебюджетные - 0,204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.)</w:t>
            </w:r>
          </w:p>
          <w:p w14:paraId="76A9279A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center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i/>
                <w:iCs/>
                <w:color w:val="1A1A1A"/>
                <w:sz w:val="22"/>
                <w:szCs w:val="22"/>
                <w:lang w:eastAsia="ru-RU"/>
              </w:rPr>
              <w:t>Управление по делам города</w:t>
            </w:r>
          </w:p>
          <w:p w14:paraId="52613568" w14:textId="2B357DC3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7A0EC3">
              <w:rPr>
                <w:color w:val="1A1A1A"/>
                <w:sz w:val="22"/>
                <w:szCs w:val="22"/>
                <w:lang w:eastAsia="ru-RU"/>
              </w:rPr>
              <w:lastRenderedPageBreak/>
              <w:t xml:space="preserve">- Благоустройство общественного пространства по адресу: Нижегородская область,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г.Сергач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, пос. Юбилейный, в районе д.7,8. Общая сумма средств – 5,11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(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обл.бюджет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 – 2,98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 xml:space="preserve">., местный бюджет- 2,02 </w:t>
            </w:r>
            <w:proofErr w:type="spellStart"/>
            <w:r w:rsidRPr="007A0EC3">
              <w:rPr>
                <w:color w:val="1A1A1A"/>
                <w:sz w:val="22"/>
                <w:szCs w:val="22"/>
                <w:lang w:eastAsia="ru-RU"/>
              </w:rPr>
              <w:t>млн.руб</w:t>
            </w:r>
            <w:proofErr w:type="spellEnd"/>
            <w:r w:rsidRPr="007A0EC3">
              <w:rPr>
                <w:color w:val="1A1A1A"/>
                <w:sz w:val="22"/>
                <w:szCs w:val="22"/>
                <w:lang w:eastAsia="ru-RU"/>
              </w:rPr>
              <w:t>., внебюджетные - 0,107млн.руб.)</w:t>
            </w:r>
          </w:p>
          <w:p w14:paraId="78962B71" w14:textId="6B80E9A3" w:rsidR="007A0EC3" w:rsidRPr="007A0EC3" w:rsidRDefault="007A0EC3" w:rsidP="007A0EC3">
            <w:pPr>
              <w:jc w:val="both"/>
              <w:rPr>
                <w:color w:val="2B2E31"/>
                <w:sz w:val="22"/>
                <w:szCs w:val="22"/>
                <w:shd w:val="clear" w:color="auto" w:fill="FFFFFF"/>
              </w:rPr>
            </w:pPr>
            <w:r w:rsidRPr="007A0EC3">
              <w:rPr>
                <w:i/>
                <w:iCs/>
                <w:sz w:val="22"/>
                <w:szCs w:val="22"/>
              </w:rPr>
              <w:t>В рамках н</w:t>
            </w:r>
            <w:r w:rsidRPr="007A0EC3">
              <w:rPr>
                <w:i/>
                <w:iCs/>
                <w:color w:val="000000"/>
                <w:sz w:val="22"/>
                <w:szCs w:val="22"/>
              </w:rPr>
              <w:t xml:space="preserve">ационального проекта «Инфраструктура для жизни» реализован </w:t>
            </w:r>
            <w:r w:rsidRPr="007A0EC3">
              <w:rPr>
                <w:color w:val="000000"/>
                <w:sz w:val="22"/>
                <w:szCs w:val="22"/>
              </w:rPr>
              <w:t xml:space="preserve">Федеральный проект: «Формирование комфортной городской среды» осуществлен проект </w:t>
            </w:r>
            <w:r w:rsidRPr="007A0EC3">
              <w:rPr>
                <w:color w:val="000000" w:themeColor="text1"/>
                <w:sz w:val="22"/>
                <w:szCs w:val="22"/>
              </w:rPr>
              <w:t>Благоустройства привокзальной площади по адресу: Нижегородская область г. Сергач, ул. Школьная.</w:t>
            </w:r>
          </w:p>
          <w:p w14:paraId="340D76BA" w14:textId="77777777" w:rsidR="007A0EC3" w:rsidRPr="007A0EC3" w:rsidRDefault="007A0EC3" w:rsidP="007A0EC3">
            <w:pPr>
              <w:ind w:firstLine="709"/>
              <w:jc w:val="both"/>
              <w:rPr>
                <w:sz w:val="22"/>
                <w:szCs w:val="22"/>
                <w:lang w:bidi="ru-RU"/>
              </w:rPr>
            </w:pPr>
            <w:r w:rsidRPr="007A0EC3">
              <w:rPr>
                <w:sz w:val="22"/>
                <w:szCs w:val="22"/>
              </w:rPr>
              <w:t>В рамках проекта была благоустроена привокзальная площадь – визитная карточка города. Создано современное, благоустроенное общественное пространство, ставшее</w:t>
            </w:r>
            <w:r w:rsidRPr="007A0EC3">
              <w:rPr>
                <w:color w:val="000000" w:themeColor="text1"/>
                <w:sz w:val="22"/>
                <w:szCs w:val="22"/>
              </w:rPr>
              <w:t xml:space="preserve"> зоной комфортного отдыха, ожидания и встреч для гостей и жителей города. Выполнены работы по </w:t>
            </w:r>
            <w:r w:rsidRPr="007A0EC3">
              <w:rPr>
                <w:sz w:val="22"/>
                <w:szCs w:val="22"/>
                <w:lang w:bidi="ru-RU"/>
              </w:rPr>
              <w:t>устройству дорожек из брусчатки, монтажу системы освещения, установлены оригинальные малые архитектурные формы: бронзовая скульптура «Медведь-железнодорожник» и арт-объект «Глобус», а также размещены чугунные скамейки, урны и информационные стенды.</w:t>
            </w:r>
          </w:p>
          <w:p w14:paraId="5BA3391C" w14:textId="77777777" w:rsidR="007A0EC3" w:rsidRPr="007A0EC3" w:rsidRDefault="007A0EC3" w:rsidP="007A0EC3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7A0EC3">
              <w:rPr>
                <w:rFonts w:ascii="Times New Roman" w:hAnsi="Times New Roman" w:cs="Times New Roman"/>
                <w:iCs/>
                <w:sz w:val="22"/>
                <w:szCs w:val="22"/>
              </w:rPr>
              <w:t>Создано новое благоустроенное пространство, которое повысило привлекательность города и качество досуга жителей.</w:t>
            </w:r>
          </w:p>
          <w:p w14:paraId="7645BF19" w14:textId="77777777" w:rsidR="007A0EC3" w:rsidRPr="007A0EC3" w:rsidRDefault="007A0EC3" w:rsidP="007A0EC3">
            <w:pPr>
              <w:jc w:val="both"/>
              <w:rPr>
                <w:color w:val="000000"/>
                <w:sz w:val="22"/>
                <w:szCs w:val="22"/>
              </w:rPr>
            </w:pPr>
            <w:r w:rsidRPr="007A0EC3">
              <w:rPr>
                <w:color w:val="000000"/>
                <w:sz w:val="22"/>
                <w:szCs w:val="22"/>
              </w:rPr>
              <w:t>Финансирование:</w:t>
            </w:r>
          </w:p>
          <w:p w14:paraId="6CC129ED" w14:textId="77777777" w:rsidR="007A0EC3" w:rsidRPr="007A0EC3" w:rsidRDefault="007A0EC3" w:rsidP="007A0EC3">
            <w:pPr>
              <w:jc w:val="both"/>
              <w:rPr>
                <w:color w:val="000000"/>
                <w:sz w:val="22"/>
                <w:szCs w:val="22"/>
              </w:rPr>
            </w:pPr>
            <w:r w:rsidRPr="007A0EC3">
              <w:rPr>
                <w:color w:val="000000"/>
                <w:sz w:val="22"/>
                <w:szCs w:val="22"/>
              </w:rPr>
              <w:t>Общий объем (план):</w:t>
            </w:r>
            <w:r w:rsidRPr="007A0EC3">
              <w:rPr>
                <w:sz w:val="22"/>
                <w:szCs w:val="22"/>
              </w:rPr>
              <w:t xml:space="preserve"> 6 718 750 </w:t>
            </w:r>
            <w:r w:rsidRPr="007A0EC3">
              <w:rPr>
                <w:color w:val="000000"/>
                <w:sz w:val="22"/>
                <w:szCs w:val="22"/>
              </w:rPr>
              <w:t xml:space="preserve">руб., в том числе </w:t>
            </w:r>
          </w:p>
          <w:p w14:paraId="49724F13" w14:textId="77777777" w:rsidR="007A0EC3" w:rsidRPr="007A0EC3" w:rsidRDefault="007A0EC3" w:rsidP="007A0EC3">
            <w:pPr>
              <w:jc w:val="both"/>
              <w:rPr>
                <w:color w:val="000000"/>
                <w:sz w:val="22"/>
                <w:szCs w:val="22"/>
              </w:rPr>
            </w:pPr>
            <w:r w:rsidRPr="007A0EC3">
              <w:rPr>
                <w:color w:val="000000"/>
                <w:sz w:val="22"/>
                <w:szCs w:val="22"/>
              </w:rPr>
              <w:t xml:space="preserve">Федеральный бюджет – </w:t>
            </w:r>
            <w:r w:rsidRPr="007A0EC3">
              <w:rPr>
                <w:sz w:val="22"/>
                <w:szCs w:val="22"/>
              </w:rPr>
              <w:t xml:space="preserve">5 805 000 </w:t>
            </w:r>
            <w:r w:rsidRPr="007A0EC3">
              <w:rPr>
                <w:color w:val="000000"/>
                <w:sz w:val="22"/>
                <w:szCs w:val="22"/>
              </w:rPr>
              <w:t xml:space="preserve">руб., </w:t>
            </w:r>
          </w:p>
          <w:p w14:paraId="41506DFC" w14:textId="77777777" w:rsidR="007A0EC3" w:rsidRPr="007A0EC3" w:rsidRDefault="007A0EC3" w:rsidP="007A0EC3">
            <w:pPr>
              <w:jc w:val="both"/>
              <w:rPr>
                <w:color w:val="000000"/>
                <w:sz w:val="22"/>
                <w:szCs w:val="22"/>
              </w:rPr>
            </w:pPr>
            <w:r w:rsidRPr="007A0EC3">
              <w:rPr>
                <w:color w:val="000000"/>
                <w:sz w:val="22"/>
                <w:szCs w:val="22"/>
              </w:rPr>
              <w:t>Областной бюджет – 241 875</w:t>
            </w:r>
            <w:r w:rsidRPr="007A0EC3">
              <w:rPr>
                <w:sz w:val="22"/>
                <w:szCs w:val="22"/>
              </w:rPr>
              <w:t xml:space="preserve"> </w:t>
            </w:r>
            <w:r w:rsidRPr="007A0EC3">
              <w:rPr>
                <w:color w:val="000000"/>
                <w:sz w:val="22"/>
                <w:szCs w:val="22"/>
              </w:rPr>
              <w:t xml:space="preserve">руб., </w:t>
            </w:r>
          </w:p>
          <w:p w14:paraId="45982D78" w14:textId="77777777" w:rsidR="007A0EC3" w:rsidRPr="007A0EC3" w:rsidRDefault="007A0EC3" w:rsidP="007A0EC3">
            <w:pPr>
              <w:jc w:val="both"/>
              <w:rPr>
                <w:color w:val="000000"/>
                <w:sz w:val="22"/>
                <w:szCs w:val="22"/>
              </w:rPr>
            </w:pPr>
            <w:r w:rsidRPr="007A0EC3">
              <w:rPr>
                <w:color w:val="000000"/>
                <w:sz w:val="22"/>
                <w:szCs w:val="22"/>
              </w:rPr>
              <w:t xml:space="preserve">Местный бюджет – 671 875 руб. </w:t>
            </w:r>
          </w:p>
          <w:p w14:paraId="59B966A5" w14:textId="77777777" w:rsidR="007A0EC3" w:rsidRPr="007A0EC3" w:rsidRDefault="007A0EC3" w:rsidP="007A0EC3">
            <w:pPr>
              <w:shd w:val="clear" w:color="auto" w:fill="FFFFFF"/>
              <w:suppressAutoHyphens w:val="0"/>
              <w:spacing w:line="253" w:lineRule="atLeast"/>
              <w:jc w:val="both"/>
              <w:rPr>
                <w:color w:val="1A1A1A"/>
                <w:sz w:val="22"/>
                <w:szCs w:val="22"/>
                <w:lang w:eastAsia="ru-RU"/>
              </w:rPr>
            </w:pPr>
          </w:p>
          <w:p w14:paraId="6FE966FC" w14:textId="14369156" w:rsidR="0034606D" w:rsidRPr="007A0EC3" w:rsidRDefault="0034606D" w:rsidP="00346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14:paraId="6820CF6D" w14:textId="18C958D1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 xml:space="preserve">ов: </w:t>
            </w:r>
            <w:r>
              <w:rPr>
                <w:color w:val="000000"/>
                <w:sz w:val="22"/>
                <w:szCs w:val="22"/>
              </w:rPr>
              <w:lastRenderedPageBreak/>
              <w:t>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922" w:type="dxa"/>
            <w:vAlign w:val="center"/>
          </w:tcPr>
          <w:p w14:paraId="0F75A088" w14:textId="7E039326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774" w:type="dxa"/>
            <w:vAlign w:val="center"/>
          </w:tcPr>
          <w:p w14:paraId="4DC2686E" w14:textId="4B9007B4" w:rsidR="0034606D" w:rsidRPr="0041570F" w:rsidRDefault="007A0EC3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4606D" w:rsidRPr="0041570F" w14:paraId="3D0B5A74" w14:textId="77777777" w:rsidTr="00674B9F">
        <w:tc>
          <w:tcPr>
            <w:tcW w:w="1118" w:type="dxa"/>
            <w:vAlign w:val="center"/>
          </w:tcPr>
          <w:p w14:paraId="1CA89C88" w14:textId="4A77729E" w:rsidR="0034606D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2.14.2.</w:t>
            </w:r>
          </w:p>
        </w:tc>
        <w:tc>
          <w:tcPr>
            <w:tcW w:w="3018" w:type="dxa"/>
            <w:vAlign w:val="center"/>
          </w:tcPr>
          <w:p w14:paraId="0B89D21E" w14:textId="47B5E6CC" w:rsidR="0034606D" w:rsidRPr="005C0777" w:rsidRDefault="0034606D" w:rsidP="0034606D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6425" w:type="dxa"/>
            <w:vAlign w:val="center"/>
          </w:tcPr>
          <w:p w14:paraId="414E9207" w14:textId="46A8494B" w:rsidR="0034606D" w:rsidRPr="0041570F" w:rsidRDefault="000E43B4" w:rsidP="0034606D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</w:t>
            </w:r>
            <w:r w:rsidRPr="00F85A5B">
              <w:rPr>
                <w:iCs/>
                <w:sz w:val="22"/>
                <w:szCs w:val="22"/>
              </w:rPr>
              <w:t>а отчетный период открытые конкурсы по выбору управляющей организации для управления многоквартирными домами не проводились</w:t>
            </w:r>
          </w:p>
        </w:tc>
        <w:tc>
          <w:tcPr>
            <w:tcW w:w="2476" w:type="dxa"/>
            <w:vAlign w:val="center"/>
          </w:tcPr>
          <w:p w14:paraId="7E44FB2B" w14:textId="4AF807AC" w:rsidR="0034606D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22" w:type="dxa"/>
            <w:vAlign w:val="center"/>
          </w:tcPr>
          <w:p w14:paraId="37649EA7" w14:textId="284B2CE6" w:rsidR="0034606D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2A27343A" w14:textId="67063E1B" w:rsidR="0034606D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6AD5E8E0" w14:textId="77777777" w:rsidTr="00674B9F">
        <w:tc>
          <w:tcPr>
            <w:tcW w:w="1118" w:type="dxa"/>
            <w:vAlign w:val="center"/>
          </w:tcPr>
          <w:p w14:paraId="60E42263" w14:textId="1CE2C584" w:rsidR="0034606D" w:rsidRPr="00B83E2D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018" w:type="dxa"/>
            <w:vAlign w:val="center"/>
          </w:tcPr>
          <w:p w14:paraId="2B081199" w14:textId="69F95952" w:rsidR="0034606D" w:rsidRPr="00B83E2D" w:rsidRDefault="0034606D" w:rsidP="0034606D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</w:t>
            </w:r>
            <w:r w:rsidRPr="00B83E2D">
              <w:rPr>
                <w:sz w:val="22"/>
                <w:szCs w:val="22"/>
              </w:rPr>
              <w:lastRenderedPageBreak/>
              <w:t>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6425" w:type="dxa"/>
            <w:vAlign w:val="center"/>
          </w:tcPr>
          <w:p w14:paraId="6F97E80E" w14:textId="4BB21448" w:rsidR="0034606D" w:rsidRPr="00B83E2D" w:rsidRDefault="000E43B4" w:rsidP="0034606D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З</w:t>
            </w:r>
            <w:r w:rsidR="0034606D" w:rsidRPr="00F85A5B">
              <w:rPr>
                <w:iCs/>
                <w:sz w:val="22"/>
                <w:szCs w:val="22"/>
              </w:rPr>
              <w:t>а отчетный период открытые конкурсы по выбору управляющей организации для управления многоквартирными домами не проводились</w:t>
            </w:r>
          </w:p>
        </w:tc>
        <w:tc>
          <w:tcPr>
            <w:tcW w:w="2476" w:type="dxa"/>
            <w:vAlign w:val="center"/>
          </w:tcPr>
          <w:p w14:paraId="31AE5A3F" w14:textId="2824DDB9" w:rsidR="0034606D" w:rsidRPr="00B83E2D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22" w:type="dxa"/>
            <w:vAlign w:val="center"/>
          </w:tcPr>
          <w:p w14:paraId="08C8F1CA" w14:textId="2895B7FC" w:rsidR="0034606D" w:rsidRPr="00B83E2D" w:rsidRDefault="0034606D" w:rsidP="0034606D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1FF09020" w14:textId="12C00283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34606D" w:rsidRPr="0041570F" w14:paraId="4D98B04E" w14:textId="77777777" w:rsidTr="00674B9F">
        <w:tc>
          <w:tcPr>
            <w:tcW w:w="1118" w:type="dxa"/>
            <w:vAlign w:val="center"/>
          </w:tcPr>
          <w:p w14:paraId="3429819C" w14:textId="31C837F9" w:rsidR="0034606D" w:rsidRPr="0041570F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3018" w:type="dxa"/>
            <w:vAlign w:val="center"/>
          </w:tcPr>
          <w:p w14:paraId="375E144A" w14:textId="1953C705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6425" w:type="dxa"/>
            <w:vAlign w:val="center"/>
          </w:tcPr>
          <w:p w14:paraId="2F3D33D3" w14:textId="7F36EF02" w:rsidR="0034606D" w:rsidRPr="0041570F" w:rsidRDefault="000E43B4" w:rsidP="0034606D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</w:t>
            </w:r>
            <w:r w:rsidRPr="00F85A5B">
              <w:rPr>
                <w:iCs/>
                <w:sz w:val="22"/>
                <w:szCs w:val="22"/>
              </w:rPr>
              <w:t>а отчетный период открытые конкурсы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9113E2">
              <w:rPr>
                <w:sz w:val="22"/>
                <w:szCs w:val="22"/>
              </w:rPr>
              <w:t>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  <w:r>
              <w:rPr>
                <w:sz w:val="22"/>
                <w:szCs w:val="22"/>
              </w:rPr>
              <w:t xml:space="preserve"> не проводились</w:t>
            </w:r>
          </w:p>
        </w:tc>
        <w:tc>
          <w:tcPr>
            <w:tcW w:w="2476" w:type="dxa"/>
            <w:vAlign w:val="center"/>
          </w:tcPr>
          <w:p w14:paraId="59F9F06E" w14:textId="295ADAC6" w:rsidR="0034606D" w:rsidRPr="005C0777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22" w:type="dxa"/>
            <w:vAlign w:val="center"/>
          </w:tcPr>
          <w:p w14:paraId="64899070" w14:textId="7D32844D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0C7708C9" w14:textId="160A672D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34500413" w14:textId="77777777" w:rsidTr="00674B9F">
        <w:tc>
          <w:tcPr>
            <w:tcW w:w="1118" w:type="dxa"/>
            <w:vAlign w:val="center"/>
          </w:tcPr>
          <w:p w14:paraId="5C44778F" w14:textId="429EA78D" w:rsidR="0034606D" w:rsidRPr="0041570F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018" w:type="dxa"/>
            <w:vAlign w:val="center"/>
          </w:tcPr>
          <w:p w14:paraId="49AB9AC4" w14:textId="76274C67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6425" w:type="dxa"/>
            <w:vAlign w:val="center"/>
          </w:tcPr>
          <w:p w14:paraId="178562ED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https://zakupki.gov.ru/epz/contract/contractCard/common-info.html?reestrNumber=3522901621825000008&amp;contractInfoId=99116602 (УПРАВЛЕНИЕ ПО ДЕЛАМ ГОРОДА АДМИНИСТРАЦИИ СЕРГАЧСКОГО МУНИЦИПАЛЬНОГО ОКРУГА НИЖЕГОРОДСКОЙ ОБЛАСТИ)</w:t>
            </w:r>
          </w:p>
          <w:p w14:paraId="7330EC8B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36EF9785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https://zakupki.gov.ru/epz/contract/contractCard/common-info.html?reestrNumber=3522901592025000003 (ЛОПАТИНСКИЙ ТЕРРИТОРИАЛЬНЫЙ ОТДЕЛ АДМИНИСТРАЦИИ СЕРГАЧСКОГО МУНИЦИПАЛЬНОГО ОКРУГА НИЖЕГОРОДСКОЙ ОБЛАСТИ)</w:t>
            </w:r>
          </w:p>
          <w:p w14:paraId="20948915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7D5BB434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https://zakupki.gov.ru/epz/contract/contractCard/common-info.html?reestrNumber=3522901704225000002 (СОСНОВСКИЙ ТЕРРИТОРИАЛЬНЫЙ ОТДЕЛ АДМИНИСТРАЦИИ СЕРГАЧСКОГО МУНИЦИПАЛЬНОГО ОКРУГА НИЖЕГОРОДСКОЙ ОБЛАСТИ)</w:t>
            </w:r>
          </w:p>
          <w:p w14:paraId="421D3D54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lastRenderedPageBreak/>
              <w:t xml:space="preserve"> </w:t>
            </w:r>
          </w:p>
          <w:p w14:paraId="76C6A4E4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https://zakupki.gov.ru/epz/contract/contractCard/common-info.html?reestrNumber=3522901702825000002 (СТАРОБЕРЕЗОВСКИЙ ТЕРРИТОРИАЛЬНЫЙ ОТДЕЛ АДМИНИСТРАЦИИ СЕРГАЧСКОГО МУНИЦИПАЛЬНОГО ОКРУГА НИЖЕГОРОДСКОЙ ОБЛАСТИ)</w:t>
            </w:r>
          </w:p>
          <w:p w14:paraId="3DB0B5D1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3F3BD77C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https://zakupki.gov.ru/epz/contract/contractCard/common-info.html?reestrNumber=3522901591225000003 (АЧКИНСКИЙ ТЕРРИТОРИАЛЬНЫЙ ОТДЕЛ АДМИНИСТРАЦИИ СЕРГАЧСКОГО МУНИЦИПАЛЬНОГО ОКРУГА НИЖЕГОРОДСКОЙ ОБЛАСТИ)</w:t>
            </w:r>
          </w:p>
          <w:p w14:paraId="75C6919A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5DCCADD1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https://zakupki.gov.ru/epz/contract/contractCard/common-info.html?reestrNumber=3522901602425000002 (ПОЖАРСКИЙ ТЕРРИТОРИАЛЬНЫЙ ОТДЕЛ АДМИНИСТРАЦИИ СЕРГАЧСКОГО МУНИЦИПАЛЬНОГО ОКРУГА НИЖЕГОРОДСКОЙ ОБЛАСТИ)</w:t>
            </w:r>
          </w:p>
          <w:p w14:paraId="103501EC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5C9769CA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https://zakupki.gov.ru/epz/contract/contractCard/common-info.html?reestrNumber=3522901621825000009 (УПРАВЛЕНИЕ ПО ДЕЛАМ ГОРОДА АДМИНИСТРАЦИИ СЕРГАЧСКОГО МУНИЦИПАЛЬНОГО ОКРУГА НИЖЕГОРОДСКОЙ ОБЛАСТИ)</w:t>
            </w:r>
          </w:p>
          <w:p w14:paraId="37C246EC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33278BB9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https://zakupki.gov.ru/epz/contract/contractCard/common-info.html?reestrNumber=3522901621825000012 (УПРАВЛЕНИЕ ПО ДЕЛАМ ГОРОДА АДМИНИСТРАЦИИ СЕРГАЧСКОГО МУНИЦИПАЛЬНОГО ОКРУГА НИЖЕГОРОДСКОЙ ОБЛАСТИ)</w:t>
            </w:r>
          </w:p>
          <w:p w14:paraId="0F2816B2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0FFB6004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https://zakupki.gov.ru/epz/contract/contractCard/common-info.html?reestrNumber=3522901591225000004&amp;contractInfoId=99224758 (АЧКИНСКИЙ ТЕРРИТОРИАЛЬНЫЙ ОТДЕЛ АДМИНИСТРАЦИИ СЕРГАЧСКОГО МУНИЦИПАЛЬНОГО ОКРУГА НИЖЕГОРОДСКОЙ ОБЛАСТИ)</w:t>
            </w:r>
          </w:p>
          <w:p w14:paraId="399F3984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2C6E6268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https://zakupki.gov.ru/epz/contract/contractCard/common-info.html?reestrNumber=3522901621825000017 (УПРАВЛЕНИЕ ПО </w:t>
            </w:r>
            <w:r w:rsidRPr="00B142F1">
              <w:rPr>
                <w:i/>
                <w:iCs/>
                <w:sz w:val="20"/>
              </w:rPr>
              <w:lastRenderedPageBreak/>
              <w:t>ДЕЛАМ ГОРОДА АДМИНИСТРАЦИИ СЕРГАЧСКОГО МУНИЦИПАЛЬНОГО ОКРУГА НИЖЕГОРОДСКОЙ ОБЛАСТИ)</w:t>
            </w:r>
          </w:p>
          <w:p w14:paraId="21C20760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2BA1AE51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https://zakupki.gov.ru/epz/contract/contractCard/common-info.html?reestrNumber=3522901621825000013&amp;contractInfoId=99246733 (УПРАВЛЕНИЕ ПО ДЕЛАМ ГОРОДА АДМИНИСТРАЦИИ СЕРГАЧСКОГО МУНИЦИПАЛЬНОГО ОКРУГА НИЖЕГОРОДСКОЙ ОБЛАСТИ)</w:t>
            </w:r>
          </w:p>
          <w:p w14:paraId="74A914FE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 xml:space="preserve"> </w:t>
            </w:r>
          </w:p>
          <w:p w14:paraId="15973DA0" w14:textId="77777777" w:rsidR="0034606D" w:rsidRPr="00B142F1" w:rsidRDefault="0034606D" w:rsidP="0034606D">
            <w:pPr>
              <w:jc w:val="both"/>
              <w:rPr>
                <w:i/>
                <w:iCs/>
                <w:sz w:val="20"/>
              </w:rPr>
            </w:pPr>
            <w:r w:rsidRPr="00B142F1">
              <w:rPr>
                <w:i/>
                <w:iCs/>
                <w:sz w:val="20"/>
              </w:rPr>
              <w:t>https://zakupki.gov.ru/epz/contract/contractCard/common-info.html?reestrNumber=3522901621825000016 (УПРАВЛЕНИЕ ПО ДЕЛАМ ГОРОДА АДМИНИСТРАЦИИ СЕРГАЧСКОГО МУНИЦИПАЛЬНОГО ОКРУГА НИЖЕГОРОДСКОЙ ОБЛАСТИ)</w:t>
            </w:r>
          </w:p>
          <w:p w14:paraId="575D27AB" w14:textId="63FDB7E9" w:rsidR="0034606D" w:rsidRPr="00B142F1" w:rsidRDefault="0034606D" w:rsidP="0034606D">
            <w:pPr>
              <w:jc w:val="both"/>
              <w:rPr>
                <w:sz w:val="20"/>
              </w:rPr>
            </w:pPr>
          </w:p>
        </w:tc>
        <w:tc>
          <w:tcPr>
            <w:tcW w:w="2476" w:type="dxa"/>
            <w:vAlign w:val="center"/>
          </w:tcPr>
          <w:p w14:paraId="2BC7BC7D" w14:textId="6B6EEBC2" w:rsidR="0034606D" w:rsidRPr="005C0777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22" w:type="dxa"/>
            <w:vAlign w:val="center"/>
          </w:tcPr>
          <w:p w14:paraId="2896DA6F" w14:textId="195770B5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3E4691B1" w14:textId="4A8B93B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250178C6" w14:textId="77777777" w:rsidTr="00674B9F">
        <w:tc>
          <w:tcPr>
            <w:tcW w:w="1118" w:type="dxa"/>
            <w:vAlign w:val="center"/>
          </w:tcPr>
          <w:p w14:paraId="16D9C155" w14:textId="1889E8FE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2.18.4.</w:t>
            </w:r>
          </w:p>
        </w:tc>
        <w:tc>
          <w:tcPr>
            <w:tcW w:w="3018" w:type="dxa"/>
          </w:tcPr>
          <w:p w14:paraId="3ADA900D" w14:textId="129B3CD2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6425" w:type="dxa"/>
            <w:vAlign w:val="center"/>
          </w:tcPr>
          <w:p w14:paraId="6DD52912" w14:textId="2BDFD99D" w:rsidR="0034606D" w:rsidRPr="00284A14" w:rsidRDefault="00284A14" w:rsidP="00346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Сеть муниципальных маршрутов сформирована. Изменений в нее не </w:t>
            </w:r>
            <w:r w:rsidR="008050A8">
              <w:rPr>
                <w:sz w:val="22"/>
                <w:szCs w:val="22"/>
              </w:rPr>
              <w:t>вносилось</w:t>
            </w:r>
            <w:r w:rsidRPr="00284A14">
              <w:rPr>
                <w:sz w:val="22"/>
                <w:szCs w:val="22"/>
              </w:rPr>
              <w:t xml:space="preserve"> ввиду отсутствия предложений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76" w:type="dxa"/>
            <w:vAlign w:val="center"/>
          </w:tcPr>
          <w:p w14:paraId="25959C64" w14:textId="4750035C" w:rsidR="0034606D" w:rsidRPr="005C0777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22" w:type="dxa"/>
            <w:vAlign w:val="center"/>
          </w:tcPr>
          <w:p w14:paraId="779D5DC0" w14:textId="1DAD8202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6B227C25" w14:textId="24613B54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6B17BFA9" w14:textId="77777777" w:rsidTr="00674B9F">
        <w:tc>
          <w:tcPr>
            <w:tcW w:w="1118" w:type="dxa"/>
            <w:vAlign w:val="center"/>
          </w:tcPr>
          <w:p w14:paraId="51844CFB" w14:textId="29B6DE9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3018" w:type="dxa"/>
          </w:tcPr>
          <w:p w14:paraId="5B8A0AEE" w14:textId="68790FE4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6425" w:type="dxa"/>
            <w:vAlign w:val="center"/>
          </w:tcPr>
          <w:p w14:paraId="59D22CD1" w14:textId="3DD6BFA6" w:rsidR="0034606D" w:rsidRPr="0041570F" w:rsidRDefault="00284A14" w:rsidP="003460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пассажиропотока осуществляется постоянно. Наблюдается ежегодное снижение пассажиропотока по всем маршрутам   Корректировки маршрутной сети по округу не проводилось, новых маршрутов не создавалось. </w:t>
            </w:r>
          </w:p>
        </w:tc>
        <w:tc>
          <w:tcPr>
            <w:tcW w:w="2476" w:type="dxa"/>
            <w:vAlign w:val="center"/>
          </w:tcPr>
          <w:p w14:paraId="6F0E3E64" w14:textId="639DCBA4" w:rsidR="0034606D" w:rsidRPr="005C0777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22" w:type="dxa"/>
            <w:vAlign w:val="center"/>
          </w:tcPr>
          <w:p w14:paraId="107C74D2" w14:textId="412DCC9F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119A64BF" w14:textId="150FD811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0D3DB9AC" w14:textId="77777777" w:rsidTr="00674B9F">
        <w:tc>
          <w:tcPr>
            <w:tcW w:w="1118" w:type="dxa"/>
            <w:vAlign w:val="center"/>
          </w:tcPr>
          <w:p w14:paraId="2BD7537F" w14:textId="2E0DE0A3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018" w:type="dxa"/>
          </w:tcPr>
          <w:p w14:paraId="7EAAE6E1" w14:textId="0763823C" w:rsidR="0034606D" w:rsidRPr="00284A14" w:rsidRDefault="0034606D" w:rsidP="0034606D">
            <w:pPr>
              <w:jc w:val="both"/>
              <w:rPr>
                <w:sz w:val="22"/>
                <w:szCs w:val="22"/>
              </w:rPr>
            </w:pPr>
            <w:r w:rsidRPr="00284A14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6425" w:type="dxa"/>
            <w:vAlign w:val="center"/>
          </w:tcPr>
          <w:p w14:paraId="7D684B55" w14:textId="74B21D5E" w:rsidR="0034606D" w:rsidRPr="00284A14" w:rsidRDefault="00284A14" w:rsidP="0034606D">
            <w:pPr>
              <w:jc w:val="both"/>
              <w:rPr>
                <w:b/>
                <w:bCs/>
                <w:sz w:val="22"/>
                <w:szCs w:val="22"/>
              </w:rPr>
            </w:pPr>
            <w:r w:rsidRPr="00284A14">
              <w:rPr>
                <w:i/>
                <w:iCs/>
                <w:sz w:val="22"/>
                <w:szCs w:val="22"/>
              </w:rPr>
              <w:t xml:space="preserve">Новый не разрабатывался </w:t>
            </w:r>
          </w:p>
        </w:tc>
        <w:tc>
          <w:tcPr>
            <w:tcW w:w="2476" w:type="dxa"/>
            <w:vAlign w:val="center"/>
          </w:tcPr>
          <w:p w14:paraId="251EF6FD" w14:textId="379A5002" w:rsidR="0034606D" w:rsidRPr="005C0777" w:rsidRDefault="0034606D" w:rsidP="003460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22" w:type="dxa"/>
            <w:vAlign w:val="center"/>
          </w:tcPr>
          <w:p w14:paraId="3C2F368C" w14:textId="1BE0B1A9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2FF60C2C" w14:textId="160C5DB0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4606D" w:rsidRPr="0041570F" w14:paraId="5D2FCB17" w14:textId="77777777" w:rsidTr="00674B9F">
        <w:tc>
          <w:tcPr>
            <w:tcW w:w="1118" w:type="dxa"/>
            <w:vAlign w:val="center"/>
          </w:tcPr>
          <w:p w14:paraId="4C528464" w14:textId="16288167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18" w:type="dxa"/>
            <w:vAlign w:val="center"/>
          </w:tcPr>
          <w:p w14:paraId="14ADCEAA" w14:textId="783851CC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6425" w:type="dxa"/>
            <w:vAlign w:val="center"/>
          </w:tcPr>
          <w:p w14:paraId="51C695D1" w14:textId="77777777" w:rsidR="00AD27EF" w:rsidRDefault="00AD27EF" w:rsidP="00AD2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Отдельный раздел размещен</w:t>
            </w:r>
            <w:r w:rsidRPr="000A62C9">
              <w:rPr>
                <w:sz w:val="22"/>
                <w:szCs w:val="22"/>
              </w:rPr>
              <w:t xml:space="preserve"> на официальном сайте</w:t>
            </w:r>
            <w:r>
              <w:rPr>
                <w:sz w:val="22"/>
                <w:szCs w:val="22"/>
              </w:rPr>
              <w:t xml:space="preserve"> администрации округа</w:t>
            </w:r>
          </w:p>
          <w:p w14:paraId="0EE75E65" w14:textId="1CB1EA05" w:rsidR="0034606D" w:rsidRDefault="00573BBE" w:rsidP="00AD27EF">
            <w:pPr>
              <w:jc w:val="both"/>
              <w:rPr>
                <w:sz w:val="22"/>
                <w:szCs w:val="22"/>
              </w:rPr>
            </w:pPr>
            <w:hyperlink r:id="rId11" w:history="1">
              <w:r w:rsidR="00AD27EF" w:rsidRPr="001C3B0B">
                <w:rPr>
                  <w:rStyle w:val="ae"/>
                  <w:sz w:val="22"/>
                  <w:szCs w:val="22"/>
                </w:rPr>
                <w:t>https://sergach.nobl.ru/activity/41608/</w:t>
              </w:r>
            </w:hyperlink>
            <w:r w:rsidR="00AD27EF">
              <w:rPr>
                <w:sz w:val="22"/>
                <w:szCs w:val="22"/>
              </w:rPr>
              <w:t>.</w:t>
            </w:r>
          </w:p>
          <w:p w14:paraId="6ADE1D88" w14:textId="5C10E846" w:rsidR="00AD27EF" w:rsidRPr="0041570F" w:rsidRDefault="00AD27EF" w:rsidP="00AD27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B3503">
              <w:rPr>
                <w:sz w:val="22"/>
                <w:szCs w:val="22"/>
              </w:rPr>
              <w:t>акже на сайте имеется возможность задать вопрос в «Электронной приемной».</w:t>
            </w:r>
          </w:p>
        </w:tc>
        <w:tc>
          <w:tcPr>
            <w:tcW w:w="2476" w:type="dxa"/>
            <w:vAlign w:val="center"/>
          </w:tcPr>
          <w:p w14:paraId="661FD913" w14:textId="758987BE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2" w:type="dxa"/>
            <w:vAlign w:val="center"/>
          </w:tcPr>
          <w:p w14:paraId="6ED792AE" w14:textId="6174DE1E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5F2302D0" w14:textId="277F5DFA" w:rsidR="0034606D" w:rsidRPr="0041570F" w:rsidRDefault="00AD27EF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34606D" w:rsidRPr="0041570F" w14:paraId="68966852" w14:textId="77777777" w:rsidTr="00674B9F">
        <w:tc>
          <w:tcPr>
            <w:tcW w:w="1118" w:type="dxa"/>
            <w:vAlign w:val="center"/>
          </w:tcPr>
          <w:p w14:paraId="7382F37F" w14:textId="2E996633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018" w:type="dxa"/>
            <w:vAlign w:val="center"/>
          </w:tcPr>
          <w:p w14:paraId="01C44E25" w14:textId="4C491713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6425" w:type="dxa"/>
            <w:vAlign w:val="center"/>
          </w:tcPr>
          <w:p w14:paraId="62F6906B" w14:textId="1F1BB3FE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193B6D">
              <w:rPr>
                <w:iCs/>
                <w:sz w:val="22"/>
                <w:szCs w:val="22"/>
              </w:rPr>
              <w:t>В декабре 2025 года разработан экскурсионный маршрут «Дорога к храму». Эксплуатация запланирована на 2026 год.</w:t>
            </w:r>
          </w:p>
        </w:tc>
        <w:tc>
          <w:tcPr>
            <w:tcW w:w="2476" w:type="dxa"/>
            <w:vAlign w:val="center"/>
          </w:tcPr>
          <w:p w14:paraId="280F54CE" w14:textId="3AF2E542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922" w:type="dxa"/>
            <w:vAlign w:val="center"/>
          </w:tcPr>
          <w:p w14:paraId="602FA1D6" w14:textId="27D85005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774" w:type="dxa"/>
            <w:vAlign w:val="center"/>
          </w:tcPr>
          <w:p w14:paraId="6F353DF2" w14:textId="0B91AD51" w:rsidR="0034606D" w:rsidRPr="00674B9F" w:rsidRDefault="0034606D" w:rsidP="0034606D">
            <w:pPr>
              <w:jc w:val="center"/>
              <w:rPr>
                <w:sz w:val="22"/>
                <w:szCs w:val="22"/>
              </w:rPr>
            </w:pPr>
            <w:r w:rsidRPr="00674B9F">
              <w:rPr>
                <w:sz w:val="22"/>
                <w:szCs w:val="22"/>
              </w:rPr>
              <w:t>5</w:t>
            </w:r>
          </w:p>
        </w:tc>
      </w:tr>
      <w:tr w:rsidR="0034606D" w:rsidRPr="0041570F" w14:paraId="59DF6CB7" w14:textId="77777777" w:rsidTr="00674B9F">
        <w:tc>
          <w:tcPr>
            <w:tcW w:w="1118" w:type="dxa"/>
            <w:vAlign w:val="center"/>
          </w:tcPr>
          <w:p w14:paraId="1FEAFA26" w14:textId="58D38C10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018" w:type="dxa"/>
          </w:tcPr>
          <w:p w14:paraId="148B3A95" w14:textId="7FCE7564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6425" w:type="dxa"/>
            <w:vAlign w:val="center"/>
          </w:tcPr>
          <w:p w14:paraId="3C531123" w14:textId="731C91CA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4667D9">
              <w:rPr>
                <w:iCs/>
                <w:sz w:val="22"/>
                <w:szCs w:val="22"/>
              </w:rPr>
              <w:t>На данный момент город Сергач не входит в кластер «Арзамас – Саров -Дивеево» Нижегородской области</w:t>
            </w:r>
          </w:p>
        </w:tc>
        <w:tc>
          <w:tcPr>
            <w:tcW w:w="2476" w:type="dxa"/>
            <w:vAlign w:val="center"/>
          </w:tcPr>
          <w:p w14:paraId="59C54F98" w14:textId="1BEB9AB4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922" w:type="dxa"/>
            <w:vAlign w:val="center"/>
          </w:tcPr>
          <w:p w14:paraId="78B7B2D3" w14:textId="617FA5A4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774" w:type="dxa"/>
            <w:vAlign w:val="center"/>
          </w:tcPr>
          <w:p w14:paraId="018B58EF" w14:textId="344BE14A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 w:rsidRPr="006416CD">
              <w:rPr>
                <w:color w:val="000000" w:themeColor="text1"/>
                <w:sz w:val="22"/>
                <w:szCs w:val="22"/>
              </w:rPr>
              <w:t xml:space="preserve">Имеется </w:t>
            </w:r>
            <w:r>
              <w:rPr>
                <w:color w:val="000000" w:themeColor="text1"/>
                <w:sz w:val="22"/>
                <w:szCs w:val="22"/>
              </w:rPr>
              <w:t>12</w:t>
            </w:r>
            <w:r w:rsidRPr="006416CD">
              <w:rPr>
                <w:color w:val="000000" w:themeColor="text1"/>
                <w:sz w:val="22"/>
                <w:szCs w:val="22"/>
              </w:rPr>
              <w:t xml:space="preserve"> объектов общественного питания, 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416CD">
              <w:rPr>
                <w:color w:val="000000" w:themeColor="text1"/>
                <w:sz w:val="22"/>
                <w:szCs w:val="22"/>
              </w:rPr>
              <w:t xml:space="preserve"> объект</w:t>
            </w:r>
            <w:r>
              <w:rPr>
                <w:color w:val="000000" w:themeColor="text1"/>
                <w:sz w:val="22"/>
                <w:szCs w:val="22"/>
              </w:rPr>
              <w:t xml:space="preserve">а </w:t>
            </w:r>
            <w:r w:rsidRPr="006416CD">
              <w:rPr>
                <w:color w:val="000000" w:themeColor="text1"/>
                <w:sz w:val="22"/>
                <w:szCs w:val="22"/>
              </w:rPr>
              <w:t>размещения (</w:t>
            </w:r>
            <w:r>
              <w:rPr>
                <w:color w:val="000000" w:themeColor="text1"/>
                <w:sz w:val="22"/>
                <w:szCs w:val="22"/>
              </w:rPr>
              <w:t xml:space="preserve">3 </w:t>
            </w:r>
            <w:r w:rsidRPr="006416CD">
              <w:rPr>
                <w:color w:val="000000" w:themeColor="text1"/>
                <w:sz w:val="22"/>
                <w:szCs w:val="22"/>
              </w:rPr>
              <w:t xml:space="preserve">-гостиницы, </w:t>
            </w:r>
            <w:r>
              <w:rPr>
                <w:color w:val="000000" w:themeColor="text1"/>
                <w:sz w:val="22"/>
                <w:szCs w:val="22"/>
              </w:rPr>
              <w:t>1 - санаторий</w:t>
            </w:r>
            <w:r w:rsidRPr="006416CD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</w:tr>
      <w:tr w:rsidR="0034606D" w:rsidRPr="0041570F" w14:paraId="65DD8064" w14:textId="77777777" w:rsidTr="00674B9F">
        <w:tc>
          <w:tcPr>
            <w:tcW w:w="1118" w:type="dxa"/>
            <w:vAlign w:val="center"/>
          </w:tcPr>
          <w:p w14:paraId="351F685C" w14:textId="0393D15D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3018" w:type="dxa"/>
          </w:tcPr>
          <w:p w14:paraId="10F3718F" w14:textId="12160C3F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6425" w:type="dxa"/>
            <w:vAlign w:val="center"/>
          </w:tcPr>
          <w:p w14:paraId="66583025" w14:textId="6F542128" w:rsidR="0034606D" w:rsidRPr="00B86832" w:rsidRDefault="000177A4" w:rsidP="0034606D">
            <w:pPr>
              <w:jc w:val="both"/>
              <w:rPr>
                <w:sz w:val="22"/>
                <w:szCs w:val="22"/>
              </w:rPr>
            </w:pPr>
            <w:r w:rsidRPr="00B86832">
              <w:rPr>
                <w:sz w:val="22"/>
                <w:szCs w:val="22"/>
              </w:rPr>
              <w:t xml:space="preserve"> Информация по имеющимся видам поддержки для </w:t>
            </w:r>
            <w:r w:rsidR="00B86832" w:rsidRPr="00B86832">
              <w:rPr>
                <w:sz w:val="22"/>
                <w:szCs w:val="22"/>
              </w:rPr>
              <w:t xml:space="preserve">бизнеса размещена на сайте администрации: </w:t>
            </w:r>
            <w:r w:rsidRPr="00B86832">
              <w:rPr>
                <w:sz w:val="22"/>
                <w:szCs w:val="22"/>
              </w:rPr>
              <w:t>https://sergach.nobl.ru/activity/29378/</w:t>
            </w:r>
          </w:p>
        </w:tc>
        <w:tc>
          <w:tcPr>
            <w:tcW w:w="2476" w:type="dxa"/>
            <w:vAlign w:val="center"/>
          </w:tcPr>
          <w:p w14:paraId="603BFA4B" w14:textId="77777777" w:rsidR="0034606D" w:rsidRPr="0041570F" w:rsidRDefault="0034606D" w:rsidP="003460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4E818B0C" w14:textId="389AB2F3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Align w:val="center"/>
          </w:tcPr>
          <w:p w14:paraId="77FDFCF0" w14:textId="0988FB96" w:rsidR="0034606D" w:rsidRPr="0041570F" w:rsidRDefault="0034606D" w:rsidP="0034606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98481F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п/п </w:t>
            </w:r>
            <w:r w:rsidRPr="004158BF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4158BF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4158BF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658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68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560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531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98481F" w14:paraId="57627A0E" w14:textId="77777777" w:rsidTr="0098481F">
        <w:tc>
          <w:tcPr>
            <w:tcW w:w="1118" w:type="dxa"/>
          </w:tcPr>
          <w:p w14:paraId="058897A4" w14:textId="7FCD04D2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58" w:type="dxa"/>
          </w:tcPr>
          <w:p w14:paraId="642E1623" w14:textId="5856C78E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68" w:type="dxa"/>
          </w:tcPr>
          <w:p w14:paraId="57143952" w14:textId="773F2955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191A98B9" w14:textId="77777777" w:rsidR="0098481F" w:rsidRDefault="0098481F" w:rsidP="0098481F">
            <w:pPr>
              <w:rPr>
                <w:i/>
                <w:iCs/>
                <w:color w:val="7030A0"/>
                <w:sz w:val="20"/>
              </w:rPr>
            </w:pPr>
            <w:r w:rsidRPr="0017222B">
              <w:rPr>
                <w:i/>
                <w:iCs/>
                <w:color w:val="7030A0"/>
                <w:sz w:val="20"/>
              </w:rPr>
              <w:t>Указывается объем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</w:t>
            </w:r>
            <w:r>
              <w:rPr>
                <w:i/>
                <w:iCs/>
                <w:color w:val="7030A0"/>
                <w:sz w:val="20"/>
              </w:rPr>
              <w:t xml:space="preserve">, </w:t>
            </w:r>
          </w:p>
          <w:p w14:paraId="3DE7DB40" w14:textId="2654AA6B" w:rsidR="0098481F" w:rsidRPr="00F8505D" w:rsidRDefault="0098481F" w:rsidP="0098481F">
            <w:pPr>
              <w:rPr>
                <w:i/>
                <w:iCs/>
                <w:color w:val="7030A0"/>
                <w:sz w:val="20"/>
              </w:rPr>
            </w:pPr>
            <w:r w:rsidRPr="00B42E35">
              <w:rPr>
                <w:i/>
                <w:iCs/>
                <w:sz w:val="20"/>
              </w:rPr>
              <w:t xml:space="preserve">14483,503 </w:t>
            </w:r>
            <w:r w:rsidRPr="00B42E35">
              <w:rPr>
                <w:b/>
                <w:bCs/>
                <w:i/>
                <w:iCs/>
                <w:sz w:val="20"/>
              </w:rPr>
              <w:t>млн руб.</w:t>
            </w:r>
          </w:p>
        </w:tc>
        <w:tc>
          <w:tcPr>
            <w:tcW w:w="4124" w:type="dxa"/>
          </w:tcPr>
          <w:p w14:paraId="74597118" w14:textId="77777777" w:rsidR="0098481F" w:rsidRDefault="0098481F" w:rsidP="0098481F">
            <w:pPr>
              <w:rPr>
                <w:i/>
                <w:iCs/>
                <w:color w:val="7030A0"/>
                <w:sz w:val="20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 общий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</w:t>
            </w:r>
            <w:r>
              <w:rPr>
                <w:i/>
                <w:iCs/>
                <w:color w:val="7030A0"/>
                <w:sz w:val="20"/>
              </w:rPr>
              <w:t xml:space="preserve">, </w:t>
            </w:r>
            <w:r w:rsidRPr="00AF572C">
              <w:rPr>
                <w:i/>
                <w:iCs/>
                <w:color w:val="7030A0"/>
                <w:sz w:val="20"/>
              </w:rPr>
              <w:t>закупок</w:t>
            </w:r>
            <w:r>
              <w:rPr>
                <w:i/>
                <w:iCs/>
                <w:color w:val="7030A0"/>
                <w:sz w:val="20"/>
              </w:rPr>
              <w:t xml:space="preserve">, </w:t>
            </w:r>
          </w:p>
          <w:p w14:paraId="02D305A3" w14:textId="2292C9EE" w:rsidR="0098481F" w:rsidRPr="00AF572C" w:rsidRDefault="0098481F" w:rsidP="0098481F">
            <w:pPr>
              <w:rPr>
                <w:b/>
                <w:bCs/>
                <w:sz w:val="20"/>
              </w:rPr>
            </w:pPr>
            <w:r w:rsidRPr="00B42E35">
              <w:rPr>
                <w:i/>
                <w:iCs/>
                <w:sz w:val="20"/>
              </w:rPr>
              <w:t xml:space="preserve">14483,503 </w:t>
            </w:r>
            <w:r w:rsidRPr="00B42E35">
              <w:rPr>
                <w:b/>
                <w:bCs/>
                <w:i/>
                <w:iCs/>
                <w:sz w:val="20"/>
              </w:rPr>
              <w:t>млн руб.</w:t>
            </w:r>
          </w:p>
        </w:tc>
        <w:tc>
          <w:tcPr>
            <w:tcW w:w="1531" w:type="dxa"/>
          </w:tcPr>
          <w:p w14:paraId="3D220F44" w14:textId="77777777" w:rsidR="0098481F" w:rsidRDefault="0098481F" w:rsidP="0098481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8BFA74" w14:textId="72D6E54E" w:rsidR="0098481F" w:rsidRDefault="0098481F" w:rsidP="009848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98481F" w14:paraId="3D17669F" w14:textId="77777777" w:rsidTr="0098481F">
        <w:tc>
          <w:tcPr>
            <w:tcW w:w="1118" w:type="dxa"/>
          </w:tcPr>
          <w:p w14:paraId="6BF06B74" w14:textId="67473AC1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58" w:type="dxa"/>
          </w:tcPr>
          <w:p w14:paraId="015736C8" w14:textId="4578F86E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t>*</w:t>
            </w:r>
          </w:p>
        </w:tc>
        <w:tc>
          <w:tcPr>
            <w:tcW w:w="2868" w:type="dxa"/>
          </w:tcPr>
          <w:p w14:paraId="09DD5107" w14:textId="18369267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0A7A4021" w14:textId="7F86673D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</w:t>
            </w:r>
            <w:r>
              <w:rPr>
                <w:i/>
                <w:iCs/>
                <w:color w:val="7030A0"/>
                <w:sz w:val="20"/>
              </w:rPr>
              <w:t xml:space="preserve"> число </w:t>
            </w:r>
            <w:r w:rsidRPr="00EF3108">
              <w:rPr>
                <w:i/>
                <w:iCs/>
                <w:color w:val="7030A0"/>
                <w:sz w:val="20"/>
              </w:rPr>
              <w:t>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Pr="00B42E35">
              <w:rPr>
                <w:b/>
                <w:bCs/>
                <w:i/>
                <w:iCs/>
                <w:sz w:val="20"/>
              </w:rPr>
              <w:t>, 5 ед.</w:t>
            </w:r>
          </w:p>
        </w:tc>
        <w:tc>
          <w:tcPr>
            <w:tcW w:w="4124" w:type="dxa"/>
          </w:tcPr>
          <w:p w14:paraId="6FE46AF6" w14:textId="77777777" w:rsidR="0098481F" w:rsidRDefault="0098481F" w:rsidP="0098481F">
            <w:pPr>
              <w:rPr>
                <w:b/>
                <w:bCs/>
                <w:i/>
                <w:iCs/>
                <w:color w:val="7030A0"/>
                <w:sz w:val="20"/>
              </w:rPr>
            </w:pPr>
            <w:r w:rsidRPr="00AF572C">
              <w:rPr>
                <w:i/>
                <w:iCs/>
                <w:color w:val="7030A0"/>
                <w:sz w:val="20"/>
              </w:rPr>
              <w:t>Указывается общее число муниципальных контрактов в сфере благоустройства городской среды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 xml:space="preserve">, </w:t>
            </w:r>
          </w:p>
          <w:p w14:paraId="0EFAF504" w14:textId="623394E8" w:rsidR="0098481F" w:rsidRDefault="0098481F" w:rsidP="0098481F">
            <w:pPr>
              <w:rPr>
                <w:b/>
                <w:bCs/>
                <w:sz w:val="22"/>
                <w:szCs w:val="22"/>
              </w:rPr>
            </w:pPr>
            <w:r w:rsidRPr="00B42E35">
              <w:rPr>
                <w:b/>
                <w:bCs/>
                <w:i/>
                <w:iCs/>
                <w:sz w:val="20"/>
              </w:rPr>
              <w:t>5 ед.</w:t>
            </w:r>
          </w:p>
        </w:tc>
        <w:tc>
          <w:tcPr>
            <w:tcW w:w="1531" w:type="dxa"/>
          </w:tcPr>
          <w:p w14:paraId="650DA488" w14:textId="77777777" w:rsidR="0098481F" w:rsidRDefault="0098481F" w:rsidP="0098481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964D11" w14:textId="3AF86932" w:rsidR="0098481F" w:rsidRDefault="0098481F" w:rsidP="009848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100%</w:t>
            </w:r>
          </w:p>
        </w:tc>
      </w:tr>
      <w:tr w:rsidR="00F8505D" w14:paraId="5BA22D33" w14:textId="77777777" w:rsidTr="0098481F">
        <w:tc>
          <w:tcPr>
            <w:tcW w:w="1118" w:type="dxa"/>
          </w:tcPr>
          <w:p w14:paraId="120434B1" w14:textId="77777777" w:rsidR="00F8505D" w:rsidRPr="005C0777" w:rsidRDefault="00F8505D" w:rsidP="00535292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58" w:type="dxa"/>
          </w:tcPr>
          <w:p w14:paraId="46661C34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68" w:type="dxa"/>
          </w:tcPr>
          <w:p w14:paraId="5654CFAE" w14:textId="77777777" w:rsidR="00F8505D" w:rsidRDefault="00F8505D" w:rsidP="00535292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663D25BF" w14:textId="77777777" w:rsidR="00F8505D" w:rsidRDefault="00F8505D" w:rsidP="00535292">
            <w:pPr>
              <w:rPr>
                <w:b/>
                <w:bCs/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5C0777">
              <w:rPr>
                <w:i/>
                <w:iCs/>
                <w:color w:val="7030A0"/>
                <w:sz w:val="20"/>
              </w:rPr>
              <w:t xml:space="preserve">количество перевезенных пассажиров организациями частной формы собственности,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</w:p>
          <w:p w14:paraId="29CDDDF2" w14:textId="77777777" w:rsidR="00B42E35" w:rsidRDefault="00B42E35" w:rsidP="00535292">
            <w:pPr>
              <w:rPr>
                <w:b/>
                <w:bCs/>
                <w:i/>
                <w:iCs/>
                <w:color w:val="7030A0"/>
                <w:sz w:val="20"/>
              </w:rPr>
            </w:pPr>
          </w:p>
          <w:p w14:paraId="0EB0296B" w14:textId="6D544279" w:rsidR="00B42E35" w:rsidRPr="005C0777" w:rsidRDefault="00B42E35" w:rsidP="00535292">
            <w:pPr>
              <w:rPr>
                <w:i/>
                <w:iCs/>
                <w:color w:val="7030A0"/>
                <w:sz w:val="20"/>
              </w:rPr>
            </w:pPr>
            <w:r>
              <w:rPr>
                <w:b/>
                <w:bCs/>
                <w:i/>
                <w:iCs/>
                <w:color w:val="7030A0"/>
                <w:sz w:val="20"/>
              </w:rPr>
              <w:t>48400</w:t>
            </w:r>
          </w:p>
        </w:tc>
        <w:tc>
          <w:tcPr>
            <w:tcW w:w="4124" w:type="dxa"/>
          </w:tcPr>
          <w:p w14:paraId="19BE98FE" w14:textId="77777777" w:rsidR="00F8505D" w:rsidRDefault="00F8505D" w:rsidP="00535292">
            <w:pPr>
              <w:rPr>
                <w:b/>
                <w:bCs/>
                <w:i/>
                <w:iCs/>
                <w:color w:val="7030A0"/>
                <w:sz w:val="20"/>
              </w:rPr>
            </w:pPr>
            <w:r>
              <w:rPr>
                <w:i/>
                <w:iCs/>
                <w:color w:val="7030A0"/>
                <w:sz w:val="20"/>
              </w:rPr>
              <w:t xml:space="preserve">Указывается </w:t>
            </w:r>
            <w:r w:rsidRPr="00C5739F">
              <w:rPr>
                <w:i/>
                <w:iCs/>
                <w:color w:val="7030A0"/>
                <w:sz w:val="20"/>
              </w:rPr>
              <w:t xml:space="preserve">общее количество перевезенных пассажиров всеми хозяйствующими субъектами (за исключением хозяйствующих субъектов с долей участия </w:t>
            </w:r>
            <w:r>
              <w:rPr>
                <w:i/>
                <w:iCs/>
                <w:color w:val="7030A0"/>
                <w:sz w:val="20"/>
              </w:rPr>
              <w:t>РФ</w:t>
            </w:r>
            <w:r w:rsidRPr="00C5739F">
              <w:rPr>
                <w:i/>
                <w:iCs/>
                <w:color w:val="7030A0"/>
                <w:sz w:val="20"/>
              </w:rPr>
              <w:t xml:space="preserve"> более 50</w:t>
            </w:r>
            <w:r>
              <w:rPr>
                <w:i/>
                <w:iCs/>
                <w:color w:val="7030A0"/>
                <w:sz w:val="20"/>
              </w:rPr>
              <w:t>%</w:t>
            </w:r>
            <w:r w:rsidRPr="00C5739F">
              <w:rPr>
                <w:i/>
                <w:iCs/>
                <w:color w:val="7030A0"/>
                <w:sz w:val="20"/>
              </w:rPr>
              <w:t xml:space="preserve">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Pr="00F8505D">
              <w:rPr>
                <w:b/>
                <w:bCs/>
                <w:i/>
                <w:iCs/>
                <w:color w:val="7030A0"/>
                <w:sz w:val="20"/>
              </w:rPr>
              <w:t>чел.</w:t>
            </w:r>
          </w:p>
          <w:p w14:paraId="1731B43B" w14:textId="0CBC9719" w:rsidR="00B42E35" w:rsidRPr="005C0777" w:rsidRDefault="00B42E35" w:rsidP="00535292">
            <w:pPr>
              <w:rPr>
                <w:i/>
                <w:iCs/>
                <w:color w:val="7030A0"/>
                <w:sz w:val="20"/>
              </w:rPr>
            </w:pPr>
            <w:r>
              <w:rPr>
                <w:b/>
                <w:bCs/>
                <w:i/>
                <w:iCs/>
                <w:color w:val="7030A0"/>
                <w:sz w:val="20"/>
              </w:rPr>
              <w:t>263800</w:t>
            </w:r>
          </w:p>
        </w:tc>
        <w:tc>
          <w:tcPr>
            <w:tcW w:w="1531" w:type="dxa"/>
          </w:tcPr>
          <w:p w14:paraId="68DC0469" w14:textId="2C80B2B8" w:rsidR="00F8505D" w:rsidRDefault="00B42E35" w:rsidP="005352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22,47 %</w:t>
            </w:r>
          </w:p>
        </w:tc>
      </w:tr>
      <w:tr w:rsidR="00AF572C" w14:paraId="60E60A8E" w14:textId="77777777" w:rsidTr="0098481F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58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68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3436" w:type="dxa"/>
          </w:tcPr>
          <w:p w14:paraId="0491048F" w14:textId="34EA12A7" w:rsidR="00AF572C" w:rsidRPr="008050A8" w:rsidRDefault="008050A8" w:rsidP="004158BF">
            <w:pPr>
              <w:rPr>
                <w:i/>
                <w:iCs/>
                <w:sz w:val="20"/>
              </w:rPr>
            </w:pPr>
            <w:r w:rsidRPr="008050A8">
              <w:rPr>
                <w:i/>
                <w:iCs/>
                <w:sz w:val="20"/>
              </w:rPr>
              <w:t xml:space="preserve">14 </w:t>
            </w:r>
            <w:r w:rsidR="00F8505D" w:rsidRPr="008050A8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4124" w:type="dxa"/>
          </w:tcPr>
          <w:p w14:paraId="4A68822B" w14:textId="04786DEF" w:rsidR="00AF572C" w:rsidRPr="008050A8" w:rsidRDefault="008050A8" w:rsidP="004158BF">
            <w:pPr>
              <w:rPr>
                <w:i/>
                <w:iCs/>
                <w:sz w:val="20"/>
              </w:rPr>
            </w:pPr>
            <w:r w:rsidRPr="008050A8">
              <w:rPr>
                <w:i/>
                <w:iCs/>
                <w:sz w:val="20"/>
              </w:rPr>
              <w:t>14</w:t>
            </w:r>
            <w:r w:rsidR="00F8505D" w:rsidRPr="008050A8">
              <w:rPr>
                <w:i/>
                <w:iCs/>
                <w:sz w:val="20"/>
              </w:rPr>
              <w:t xml:space="preserve"> </w:t>
            </w:r>
            <w:r w:rsidR="00F8505D" w:rsidRPr="008050A8">
              <w:rPr>
                <w:b/>
                <w:bCs/>
                <w:i/>
                <w:iCs/>
                <w:sz w:val="20"/>
              </w:rPr>
              <w:t>ед.</w:t>
            </w:r>
          </w:p>
        </w:tc>
        <w:tc>
          <w:tcPr>
            <w:tcW w:w="1531" w:type="dxa"/>
          </w:tcPr>
          <w:p w14:paraId="26568982" w14:textId="1E0B87F1" w:rsidR="00AF572C" w:rsidRDefault="000177A4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2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5DE2" w14:textId="77777777" w:rsidR="00573BBE" w:rsidRDefault="00573BBE" w:rsidP="00610F1A">
      <w:r>
        <w:separator/>
      </w:r>
    </w:p>
  </w:endnote>
  <w:endnote w:type="continuationSeparator" w:id="0">
    <w:p w14:paraId="6536FD30" w14:textId="77777777" w:rsidR="00573BBE" w:rsidRDefault="00573BBE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8450C" w14:textId="77777777" w:rsidR="00573BBE" w:rsidRDefault="00573BBE" w:rsidP="00610F1A">
      <w:r>
        <w:separator/>
      </w:r>
    </w:p>
  </w:footnote>
  <w:footnote w:type="continuationSeparator" w:id="0">
    <w:p w14:paraId="41230D31" w14:textId="77777777" w:rsidR="00573BBE" w:rsidRDefault="00573BBE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7"/>
    <w:rsid w:val="00001E61"/>
    <w:rsid w:val="00003C03"/>
    <w:rsid w:val="00012889"/>
    <w:rsid w:val="000177A4"/>
    <w:rsid w:val="0002554C"/>
    <w:rsid w:val="000272B8"/>
    <w:rsid w:val="0005622B"/>
    <w:rsid w:val="000A62C9"/>
    <w:rsid w:val="000C4E1A"/>
    <w:rsid w:val="000D0F52"/>
    <w:rsid w:val="000E230A"/>
    <w:rsid w:val="000E43B4"/>
    <w:rsid w:val="0010177E"/>
    <w:rsid w:val="00105362"/>
    <w:rsid w:val="00142141"/>
    <w:rsid w:val="00151805"/>
    <w:rsid w:val="001576E9"/>
    <w:rsid w:val="00162413"/>
    <w:rsid w:val="0017222B"/>
    <w:rsid w:val="0018132A"/>
    <w:rsid w:val="00196448"/>
    <w:rsid w:val="001E31F3"/>
    <w:rsid w:val="00206968"/>
    <w:rsid w:val="00206F53"/>
    <w:rsid w:val="00211524"/>
    <w:rsid w:val="00235B64"/>
    <w:rsid w:val="00244B1D"/>
    <w:rsid w:val="002463ED"/>
    <w:rsid w:val="00284A14"/>
    <w:rsid w:val="002A3ECB"/>
    <w:rsid w:val="002A4715"/>
    <w:rsid w:val="002A7508"/>
    <w:rsid w:val="002B1AF8"/>
    <w:rsid w:val="002B37E6"/>
    <w:rsid w:val="002D27C6"/>
    <w:rsid w:val="002D3A4D"/>
    <w:rsid w:val="002E6B78"/>
    <w:rsid w:val="002F3791"/>
    <w:rsid w:val="002F58AB"/>
    <w:rsid w:val="00303148"/>
    <w:rsid w:val="00316B0E"/>
    <w:rsid w:val="003247DA"/>
    <w:rsid w:val="00332AD3"/>
    <w:rsid w:val="00345767"/>
    <w:rsid w:val="0034606D"/>
    <w:rsid w:val="00351A5C"/>
    <w:rsid w:val="00354B8F"/>
    <w:rsid w:val="003717A7"/>
    <w:rsid w:val="00371AAC"/>
    <w:rsid w:val="003829B3"/>
    <w:rsid w:val="003B31F5"/>
    <w:rsid w:val="003B5BD5"/>
    <w:rsid w:val="003F2F62"/>
    <w:rsid w:val="0041570F"/>
    <w:rsid w:val="004158BF"/>
    <w:rsid w:val="00422499"/>
    <w:rsid w:val="00423B0D"/>
    <w:rsid w:val="00493C8B"/>
    <w:rsid w:val="00495880"/>
    <w:rsid w:val="004A4A74"/>
    <w:rsid w:val="004F7F20"/>
    <w:rsid w:val="00500466"/>
    <w:rsid w:val="005158CE"/>
    <w:rsid w:val="00521137"/>
    <w:rsid w:val="00525E67"/>
    <w:rsid w:val="00535BD4"/>
    <w:rsid w:val="00551487"/>
    <w:rsid w:val="00560E9B"/>
    <w:rsid w:val="00563F22"/>
    <w:rsid w:val="00573BBE"/>
    <w:rsid w:val="005817E1"/>
    <w:rsid w:val="00582AB6"/>
    <w:rsid w:val="005862B4"/>
    <w:rsid w:val="005C0777"/>
    <w:rsid w:val="005F236A"/>
    <w:rsid w:val="00610F1A"/>
    <w:rsid w:val="006114CF"/>
    <w:rsid w:val="00674B9F"/>
    <w:rsid w:val="00695703"/>
    <w:rsid w:val="0069644C"/>
    <w:rsid w:val="006D30F3"/>
    <w:rsid w:val="006E4AAB"/>
    <w:rsid w:val="006F2CC8"/>
    <w:rsid w:val="00700C09"/>
    <w:rsid w:val="00740AFA"/>
    <w:rsid w:val="0075716C"/>
    <w:rsid w:val="007573C8"/>
    <w:rsid w:val="00781455"/>
    <w:rsid w:val="00781550"/>
    <w:rsid w:val="00783BCC"/>
    <w:rsid w:val="0078600E"/>
    <w:rsid w:val="007946D4"/>
    <w:rsid w:val="007A0EC3"/>
    <w:rsid w:val="007B4963"/>
    <w:rsid w:val="007E3583"/>
    <w:rsid w:val="00801659"/>
    <w:rsid w:val="008050A8"/>
    <w:rsid w:val="00812C97"/>
    <w:rsid w:val="00821F08"/>
    <w:rsid w:val="00824CC1"/>
    <w:rsid w:val="00854A1A"/>
    <w:rsid w:val="008B1510"/>
    <w:rsid w:val="008B3175"/>
    <w:rsid w:val="008C66CB"/>
    <w:rsid w:val="008D4DEC"/>
    <w:rsid w:val="008D5F51"/>
    <w:rsid w:val="009113E2"/>
    <w:rsid w:val="00916376"/>
    <w:rsid w:val="00961EFB"/>
    <w:rsid w:val="00962391"/>
    <w:rsid w:val="00973C09"/>
    <w:rsid w:val="0098481F"/>
    <w:rsid w:val="00985F26"/>
    <w:rsid w:val="009B4035"/>
    <w:rsid w:val="00A25A98"/>
    <w:rsid w:val="00A27B25"/>
    <w:rsid w:val="00A45002"/>
    <w:rsid w:val="00A51978"/>
    <w:rsid w:val="00A51BE9"/>
    <w:rsid w:val="00A600DC"/>
    <w:rsid w:val="00A66907"/>
    <w:rsid w:val="00A75AAD"/>
    <w:rsid w:val="00AD27EF"/>
    <w:rsid w:val="00AF572C"/>
    <w:rsid w:val="00B142F1"/>
    <w:rsid w:val="00B22800"/>
    <w:rsid w:val="00B42E35"/>
    <w:rsid w:val="00B462B7"/>
    <w:rsid w:val="00B5137C"/>
    <w:rsid w:val="00B54617"/>
    <w:rsid w:val="00B83E2D"/>
    <w:rsid w:val="00B86832"/>
    <w:rsid w:val="00B9269E"/>
    <w:rsid w:val="00B978DB"/>
    <w:rsid w:val="00BB07EB"/>
    <w:rsid w:val="00C17DFB"/>
    <w:rsid w:val="00C268A4"/>
    <w:rsid w:val="00C5739F"/>
    <w:rsid w:val="00C5785A"/>
    <w:rsid w:val="00CA3E56"/>
    <w:rsid w:val="00CC7A0B"/>
    <w:rsid w:val="00CD0669"/>
    <w:rsid w:val="00DA37B4"/>
    <w:rsid w:val="00DA38EC"/>
    <w:rsid w:val="00DC2F09"/>
    <w:rsid w:val="00DC5344"/>
    <w:rsid w:val="00DF2091"/>
    <w:rsid w:val="00E029DD"/>
    <w:rsid w:val="00E14314"/>
    <w:rsid w:val="00E15963"/>
    <w:rsid w:val="00E20B7A"/>
    <w:rsid w:val="00E21C38"/>
    <w:rsid w:val="00E342B5"/>
    <w:rsid w:val="00E677A6"/>
    <w:rsid w:val="00E82544"/>
    <w:rsid w:val="00E83FF8"/>
    <w:rsid w:val="00E874BA"/>
    <w:rsid w:val="00EA716C"/>
    <w:rsid w:val="00EC299A"/>
    <w:rsid w:val="00EE2FDD"/>
    <w:rsid w:val="00EF3108"/>
    <w:rsid w:val="00F00EDA"/>
    <w:rsid w:val="00F130A5"/>
    <w:rsid w:val="00F15D30"/>
    <w:rsid w:val="00F35C5E"/>
    <w:rsid w:val="00F708C8"/>
    <w:rsid w:val="00F71603"/>
    <w:rsid w:val="00F8505D"/>
    <w:rsid w:val="00FA018B"/>
    <w:rsid w:val="00FB625C"/>
    <w:rsid w:val="00FB69D3"/>
    <w:rsid w:val="00FC125B"/>
    <w:rsid w:val="00F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uiPriority w:val="99"/>
    <w:unhideWhenUsed/>
    <w:rsid w:val="007946D4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34606D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character" w:styleId="af">
    <w:name w:val="Strong"/>
    <w:basedOn w:val="a0"/>
    <w:uiPriority w:val="22"/>
    <w:qFormat/>
    <w:rsid w:val="007A0EC3"/>
    <w:rPr>
      <w:b/>
      <w:bCs/>
    </w:rPr>
  </w:style>
  <w:style w:type="paragraph" w:customStyle="1" w:styleId="ConsPlusNormal">
    <w:name w:val="ConsPlusNormal"/>
    <w:rsid w:val="007A0E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AD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29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7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1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1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1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ach.nobl.ru/activity/3448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gach.nobl.ru/activity/4160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gach.nobl.ru/activity/306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gach.nobl.ru/activity/3677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8110-CFFF-4C6D-AE76-CB90D2F5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ARM</cp:lastModifiedBy>
  <cp:revision>2</cp:revision>
  <dcterms:created xsi:type="dcterms:W3CDTF">2026-01-30T12:22:00Z</dcterms:created>
  <dcterms:modified xsi:type="dcterms:W3CDTF">2026-01-30T12:22:00Z</dcterms:modified>
</cp:coreProperties>
</file>